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CB54" w14:textId="77777777" w:rsidR="0054236C" w:rsidRPr="00AD60DF" w:rsidRDefault="0054236C" w:rsidP="0054236C">
      <w:pPr>
        <w:spacing w:after="0" w:line="240" w:lineRule="auto"/>
        <w:ind w:left="0" w:right="0"/>
        <w:rPr>
          <w:rFonts w:ascii="Times New Roman" w:eastAsia="Times New Roman" w:hAnsi="Times New Roman" w:cs="Times New Roman"/>
          <w:color w:val="000000" w:themeColor="text1"/>
          <w:sz w:val="24"/>
          <w:szCs w:val="24"/>
          <w:lang w:eastAsia="it-IT"/>
        </w:rPr>
      </w:pPr>
      <w:r w:rsidRPr="00AD60DF">
        <w:rPr>
          <w:rFonts w:ascii="Times New Roman" w:eastAsia="Times New Roman" w:hAnsi="Times New Roman" w:cs="Times New Roman"/>
          <w:color w:val="000000" w:themeColor="text1"/>
          <w:sz w:val="27"/>
          <w:szCs w:val="27"/>
          <w:lang w:eastAsia="it-IT"/>
        </w:rPr>
        <w:t>Pubblicato il 22/10/2025</w:t>
      </w:r>
    </w:p>
    <w:p w14:paraId="5AFA059E" w14:textId="77777777" w:rsidR="0054236C" w:rsidRPr="00AD60DF" w:rsidRDefault="0054236C" w:rsidP="0054236C">
      <w:pPr>
        <w:spacing w:before="100" w:beforeAutospacing="1" w:after="100" w:afterAutospacing="1" w:line="0" w:lineRule="atLeast"/>
        <w:ind w:left="0" w:right="0"/>
        <w:jc w:val="right"/>
        <w:rPr>
          <w:rFonts w:ascii="Times Nordic" w:eastAsia="Times New Roman" w:hAnsi="Times Nordic" w:cs="Times New Roman"/>
          <w:b/>
          <w:bCs/>
          <w:color w:val="000000" w:themeColor="text1"/>
          <w:lang w:eastAsia="it-IT"/>
        </w:rPr>
      </w:pPr>
      <w:r w:rsidRPr="00AD60DF">
        <w:rPr>
          <w:rFonts w:ascii="Times Nordic" w:eastAsia="Times New Roman" w:hAnsi="Times Nordic" w:cs="Times New Roman"/>
          <w:b/>
          <w:bCs/>
          <w:color w:val="000000" w:themeColor="text1"/>
          <w:lang w:eastAsia="it-IT"/>
        </w:rPr>
        <w:t>N. 01862/2025 REG.PROV.COLL.</w:t>
      </w:r>
    </w:p>
    <w:p w14:paraId="44B66FC4" w14:textId="77777777" w:rsidR="0054236C" w:rsidRPr="00AD60DF" w:rsidRDefault="0054236C" w:rsidP="0054236C">
      <w:pPr>
        <w:spacing w:before="100" w:beforeAutospacing="1" w:after="100" w:afterAutospacing="1" w:line="0" w:lineRule="atLeast"/>
        <w:ind w:left="0" w:right="0"/>
        <w:jc w:val="right"/>
        <w:rPr>
          <w:rFonts w:ascii="Times Nordic" w:eastAsia="Times New Roman" w:hAnsi="Times Nordic" w:cs="Times New Roman"/>
          <w:b/>
          <w:bCs/>
          <w:color w:val="000000" w:themeColor="text1"/>
          <w:lang w:eastAsia="it-IT"/>
        </w:rPr>
      </w:pPr>
      <w:r w:rsidRPr="00AD60DF">
        <w:rPr>
          <w:rFonts w:ascii="Times Nordic" w:eastAsia="Times New Roman" w:hAnsi="Times Nordic" w:cs="Times New Roman"/>
          <w:b/>
          <w:bCs/>
          <w:color w:val="000000" w:themeColor="text1"/>
          <w:lang w:eastAsia="it-IT"/>
        </w:rPr>
        <w:t>N. 01542/2024 REG.RIC.</w:t>
      </w:r>
    </w:p>
    <w:p w14:paraId="25EA853A"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spacing w:val="167"/>
          <w:sz w:val="27"/>
          <w:szCs w:val="27"/>
          <w:lang w:eastAsia="it-IT"/>
        </w:rPr>
      </w:pPr>
      <w:r w:rsidRPr="00AD60DF">
        <w:rPr>
          <w:rFonts w:ascii="Garamond" w:eastAsia="Times New Roman" w:hAnsi="Garamond" w:cs="Times New Roman"/>
          <w:b/>
          <w:bCs/>
          <w:noProof/>
          <w:color w:val="000000" w:themeColor="text1"/>
          <w:spacing w:val="167"/>
          <w:sz w:val="27"/>
          <w:szCs w:val="27"/>
          <w:lang w:eastAsia="it-IT"/>
        </w:rPr>
        <w:drawing>
          <wp:inline distT="0" distB="0" distL="0" distR="0" wp14:anchorId="65B9127F" wp14:editId="08077379">
            <wp:extent cx="723265" cy="829310"/>
            <wp:effectExtent l="19050" t="0" r="635" b="0"/>
            <wp:docPr id="1" name="Immagine 1" descr="https://mdp.giustizia-amministrativa.it/visualizz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p.giustizia-amministrativa.it/visualizza/stemma.jpg"/>
                    <pic:cNvPicPr>
                      <a:picLocks noChangeAspect="1" noChangeArrowheads="1"/>
                    </pic:cNvPicPr>
                  </pic:nvPicPr>
                  <pic:blipFill>
                    <a:blip r:embed="rId4"/>
                    <a:srcRect/>
                    <a:stretch>
                      <a:fillRect/>
                    </a:stretch>
                  </pic:blipFill>
                  <pic:spPr bwMode="auto">
                    <a:xfrm>
                      <a:off x="0" y="0"/>
                      <a:ext cx="723265" cy="829310"/>
                    </a:xfrm>
                    <a:prstGeom prst="rect">
                      <a:avLst/>
                    </a:prstGeom>
                    <a:noFill/>
                    <a:ln w="9525">
                      <a:noFill/>
                      <a:miter lim="800000"/>
                      <a:headEnd/>
                      <a:tailEnd/>
                    </a:ln>
                  </pic:spPr>
                </pic:pic>
              </a:graphicData>
            </a:graphic>
          </wp:inline>
        </w:drawing>
      </w:r>
    </w:p>
    <w:p w14:paraId="3105BF70"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spacing w:val="167"/>
          <w:sz w:val="27"/>
          <w:szCs w:val="27"/>
          <w:lang w:eastAsia="it-IT"/>
        </w:rPr>
      </w:pPr>
      <w:r w:rsidRPr="00AD60DF">
        <w:rPr>
          <w:rFonts w:ascii="Garamond" w:eastAsia="Times New Roman" w:hAnsi="Garamond" w:cs="Times New Roman"/>
          <w:b/>
          <w:bCs/>
          <w:color w:val="000000" w:themeColor="text1"/>
          <w:spacing w:val="167"/>
          <w:sz w:val="27"/>
          <w:szCs w:val="27"/>
          <w:lang w:eastAsia="it-IT"/>
        </w:rPr>
        <w:t>REPUBBLICA ITALIANA</w:t>
      </w:r>
    </w:p>
    <w:p w14:paraId="448DFC76"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lang w:eastAsia="it-IT"/>
        </w:rPr>
      </w:pPr>
      <w:r w:rsidRPr="00AD60DF">
        <w:rPr>
          <w:rFonts w:ascii="Garamond" w:eastAsia="Times New Roman" w:hAnsi="Garamond" w:cs="Times New Roman"/>
          <w:b/>
          <w:bCs/>
          <w:color w:val="000000" w:themeColor="text1"/>
          <w:lang w:eastAsia="it-IT"/>
        </w:rPr>
        <w:t>IN NOME DEL POPOLO ITALIANO</w:t>
      </w:r>
    </w:p>
    <w:p w14:paraId="161B0D5E"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sz w:val="26"/>
          <w:szCs w:val="26"/>
          <w:lang w:eastAsia="it-IT"/>
        </w:rPr>
      </w:pPr>
      <w:r w:rsidRPr="00AD60DF">
        <w:rPr>
          <w:rFonts w:ascii="Garamond" w:eastAsia="Times New Roman" w:hAnsi="Garamond" w:cs="Times New Roman"/>
          <w:b/>
          <w:bCs/>
          <w:color w:val="000000" w:themeColor="text1"/>
          <w:sz w:val="26"/>
          <w:szCs w:val="26"/>
          <w:lang w:eastAsia="it-IT"/>
        </w:rPr>
        <w:t>Il Tribunale Amministrativo Regionale per il Veneto</w:t>
      </w:r>
    </w:p>
    <w:p w14:paraId="26DC821A"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sz w:val="26"/>
          <w:szCs w:val="26"/>
          <w:lang w:eastAsia="it-IT"/>
        </w:rPr>
      </w:pPr>
      <w:r w:rsidRPr="00AD60DF">
        <w:rPr>
          <w:rFonts w:ascii="Garamond" w:eastAsia="Times New Roman" w:hAnsi="Garamond" w:cs="Times New Roman"/>
          <w:b/>
          <w:bCs/>
          <w:color w:val="000000" w:themeColor="text1"/>
          <w:sz w:val="26"/>
          <w:szCs w:val="26"/>
          <w:lang w:eastAsia="it-IT"/>
        </w:rPr>
        <w:t>(Sezione Seconda)</w:t>
      </w:r>
    </w:p>
    <w:p w14:paraId="7477E6B3" w14:textId="77777777" w:rsidR="0054236C" w:rsidRPr="00AD60DF" w:rsidRDefault="0054236C" w:rsidP="0054236C">
      <w:pPr>
        <w:spacing w:after="0" w:line="520" w:lineRule="atLeast"/>
        <w:ind w:left="0" w:right="0" w:firstLine="567"/>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ha pronunciato la presente</w:t>
      </w:r>
    </w:p>
    <w:p w14:paraId="36DA5744" w14:textId="77777777" w:rsidR="0054236C" w:rsidRPr="00AD60DF" w:rsidRDefault="0054236C" w:rsidP="0054236C">
      <w:pPr>
        <w:spacing w:before="100" w:beforeAutospacing="1" w:after="100" w:afterAutospacing="1" w:line="240" w:lineRule="auto"/>
        <w:ind w:left="0" w:right="0"/>
        <w:jc w:val="center"/>
        <w:rPr>
          <w:rFonts w:ascii="Garamond" w:eastAsia="Times New Roman" w:hAnsi="Garamond" w:cs="Times New Roman"/>
          <w:b/>
          <w:bCs/>
          <w:color w:val="000000" w:themeColor="text1"/>
          <w:sz w:val="26"/>
          <w:szCs w:val="26"/>
          <w:lang w:eastAsia="it-IT"/>
        </w:rPr>
      </w:pPr>
      <w:r w:rsidRPr="00AD60DF">
        <w:rPr>
          <w:rFonts w:ascii="Garamond" w:eastAsia="Times New Roman" w:hAnsi="Garamond" w:cs="Times New Roman"/>
          <w:b/>
          <w:bCs/>
          <w:color w:val="000000" w:themeColor="text1"/>
          <w:sz w:val="26"/>
          <w:szCs w:val="26"/>
          <w:lang w:eastAsia="it-IT"/>
        </w:rPr>
        <w:t>SENTENZA</w:t>
      </w:r>
    </w:p>
    <w:p w14:paraId="71529774"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sul ricorso numero di registro generale 1542 del 2024, proposto da</w:t>
      </w:r>
      <w:r w:rsidRPr="00AD60DF">
        <w:rPr>
          <w:rFonts w:ascii="Garamond" w:eastAsia="Times New Roman" w:hAnsi="Garamond" w:cs="Times New Roman"/>
          <w:color w:val="000000" w:themeColor="text1"/>
          <w:sz w:val="30"/>
          <w:szCs w:val="30"/>
          <w:lang w:eastAsia="it-IT"/>
        </w:rPr>
        <w:br/>
        <w:t xml:space="preserve">Denni Petracco, Ketty Collin, rappresentati e difesi dagli avvocati Bruno Barel, Mario </w:t>
      </w:r>
      <w:proofErr w:type="spellStart"/>
      <w:r w:rsidRPr="00AD60DF">
        <w:rPr>
          <w:rFonts w:ascii="Garamond" w:eastAsia="Times New Roman" w:hAnsi="Garamond" w:cs="Times New Roman"/>
          <w:color w:val="000000" w:themeColor="text1"/>
          <w:sz w:val="30"/>
          <w:szCs w:val="30"/>
          <w:lang w:eastAsia="it-IT"/>
        </w:rPr>
        <w:t>Panzarino</w:t>
      </w:r>
      <w:proofErr w:type="spellEnd"/>
      <w:r w:rsidRPr="00AD60DF">
        <w:rPr>
          <w:rFonts w:ascii="Garamond" w:eastAsia="Times New Roman" w:hAnsi="Garamond" w:cs="Times New Roman"/>
          <w:color w:val="000000" w:themeColor="text1"/>
          <w:sz w:val="30"/>
          <w:szCs w:val="30"/>
          <w:lang w:eastAsia="it-IT"/>
        </w:rPr>
        <w:t>, con domicilio digitale come da PEC da Registri di Giustizia;</w:t>
      </w:r>
    </w:p>
    <w:p w14:paraId="08892F7C" w14:textId="77777777" w:rsidR="0054236C" w:rsidRPr="00AD60DF" w:rsidRDefault="0054236C" w:rsidP="0054236C">
      <w:pPr>
        <w:spacing w:after="0" w:line="520" w:lineRule="atLeast"/>
        <w:ind w:left="0" w:right="0"/>
        <w:jc w:val="center"/>
        <w:rPr>
          <w:rFonts w:ascii="Garamond" w:eastAsia="Times New Roman" w:hAnsi="Garamond" w:cs="Times New Roman"/>
          <w:b/>
          <w:bCs/>
          <w:i/>
          <w:iCs/>
          <w:color w:val="000000" w:themeColor="text1"/>
          <w:sz w:val="30"/>
          <w:szCs w:val="30"/>
          <w:lang w:eastAsia="it-IT"/>
        </w:rPr>
      </w:pPr>
      <w:r w:rsidRPr="00AD60DF">
        <w:rPr>
          <w:rFonts w:ascii="Garamond" w:eastAsia="Times New Roman" w:hAnsi="Garamond" w:cs="Times New Roman"/>
          <w:b/>
          <w:bCs/>
          <w:i/>
          <w:iCs/>
          <w:color w:val="000000" w:themeColor="text1"/>
          <w:sz w:val="30"/>
          <w:szCs w:val="30"/>
          <w:lang w:eastAsia="it-IT"/>
        </w:rPr>
        <w:t>contro</w:t>
      </w:r>
    </w:p>
    <w:p w14:paraId="11EF62B8"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Comune di Portogruaro, in persona del legale rappresentante pro tempore, rappresentato e difeso dagli avvocati Roberta Brusegan, Katia Maretto, con domicilio digitale come da PEC da Registri di Giustizia;</w:t>
      </w:r>
    </w:p>
    <w:p w14:paraId="27AAE8F0" w14:textId="77777777" w:rsidR="0054236C" w:rsidRPr="00AD60DF" w:rsidRDefault="0054236C" w:rsidP="0054236C">
      <w:pPr>
        <w:spacing w:after="0" w:line="520" w:lineRule="atLeast"/>
        <w:ind w:left="0" w:right="0"/>
        <w:jc w:val="center"/>
        <w:rPr>
          <w:rFonts w:ascii="Garamond" w:eastAsia="Times New Roman" w:hAnsi="Garamond" w:cs="Times New Roman"/>
          <w:b/>
          <w:bCs/>
          <w:i/>
          <w:iCs/>
          <w:color w:val="000000" w:themeColor="text1"/>
          <w:sz w:val="30"/>
          <w:szCs w:val="30"/>
          <w:lang w:eastAsia="it-IT"/>
        </w:rPr>
      </w:pPr>
      <w:r w:rsidRPr="00AD60DF">
        <w:rPr>
          <w:rFonts w:ascii="Garamond" w:eastAsia="Times New Roman" w:hAnsi="Garamond" w:cs="Times New Roman"/>
          <w:b/>
          <w:bCs/>
          <w:i/>
          <w:iCs/>
          <w:color w:val="000000" w:themeColor="text1"/>
          <w:sz w:val="30"/>
          <w:szCs w:val="30"/>
          <w:lang w:eastAsia="it-IT"/>
        </w:rPr>
        <w:t>per l'annullamento</w:t>
      </w:r>
    </w:p>
    <w:p w14:paraId="62B70C96" w14:textId="77777777" w:rsidR="0054236C" w:rsidRPr="00AD60DF" w:rsidRDefault="0054236C" w:rsidP="0054236C">
      <w:pPr>
        <w:spacing w:after="0" w:line="540" w:lineRule="atLeast"/>
        <w:ind w:left="0" w:right="0"/>
        <w:jc w:val="center"/>
        <w:rPr>
          <w:rFonts w:ascii="Garamond" w:eastAsia="Times New Roman" w:hAnsi="Garamond" w:cs="Times New Roman"/>
          <w:i/>
          <w:iCs/>
          <w:color w:val="000000" w:themeColor="text1"/>
          <w:sz w:val="30"/>
          <w:szCs w:val="30"/>
          <w:lang w:eastAsia="it-IT"/>
        </w:rPr>
      </w:pPr>
      <w:r w:rsidRPr="00AD60DF">
        <w:rPr>
          <w:rFonts w:ascii="Garamond" w:eastAsia="Times New Roman" w:hAnsi="Garamond" w:cs="Times New Roman"/>
          <w:i/>
          <w:iCs/>
          <w:color w:val="000000" w:themeColor="text1"/>
          <w:sz w:val="30"/>
          <w:szCs w:val="30"/>
          <w:lang w:eastAsia="it-IT"/>
        </w:rPr>
        <w:t>previa concessione di idonea misura cautelare</w:t>
      </w:r>
    </w:p>
    <w:p w14:paraId="236AC8AF"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 dell’ordinanza di demolizione n. 158 assunta ai sensi dell’art. 34, co. 1, D.P.R. 380/2001 dal Dirigente dell’Area Tecnica del Comune di Portogruaro in data 26 settembre 2024 e notificata in data 27 settembre relativa alla PE C22_038 – PDC N. 0040063 del 12.9.2022 ed avente ad oggetto accertamento violazioni alle norme </w:t>
      </w:r>
      <w:r w:rsidRPr="00AD60DF">
        <w:rPr>
          <w:rFonts w:ascii="Garamond" w:eastAsia="Times New Roman" w:hAnsi="Garamond" w:cs="Times New Roman"/>
          <w:color w:val="000000" w:themeColor="text1"/>
          <w:sz w:val="30"/>
          <w:szCs w:val="30"/>
          <w:lang w:eastAsia="it-IT"/>
        </w:rPr>
        <w:lastRenderedPageBreak/>
        <w:t>in materia urbanistica relativamente all’immobile censito al catasto al foglio 58, mapp. 91 sub 1 e 2 del Comune di Portogruaro (doc. 1);</w:t>
      </w:r>
    </w:p>
    <w:p w14:paraId="52A1B485"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nonché del successivo provvedimento dirigenziale prot. REP_PROV_VE/VE-SUPRO/0646737 del 14 novembre 2024 con il quale è stata inibita l’efficacia della SCIA in sanatoria avanzata ai sensi dell’art. 36bis, D.P.R. 380/2001 prot. n. 0566761 del 15 ottobre 2024 (doc. 2);</w:t>
      </w:r>
    </w:p>
    <w:p w14:paraId="20972F14"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nonché di ogni altro atto presupposto e/o consequenziale, anche non conosciuto;</w:t>
      </w:r>
    </w:p>
    <w:p w14:paraId="62F5E728"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con condanna del Comune di Portogruaro al risarcimento in favore dei ricorrenti dei danni ingiusti subiti e </w:t>
      </w:r>
      <w:proofErr w:type="spellStart"/>
      <w:r w:rsidRPr="00AD60DF">
        <w:rPr>
          <w:rFonts w:ascii="Garamond" w:eastAsia="Times New Roman" w:hAnsi="Garamond" w:cs="Times New Roman"/>
          <w:color w:val="000000" w:themeColor="text1"/>
          <w:sz w:val="30"/>
          <w:szCs w:val="30"/>
          <w:lang w:eastAsia="it-IT"/>
        </w:rPr>
        <w:t>subendi</w:t>
      </w:r>
      <w:proofErr w:type="spellEnd"/>
      <w:r w:rsidRPr="00AD60DF">
        <w:rPr>
          <w:rFonts w:ascii="Garamond" w:eastAsia="Times New Roman" w:hAnsi="Garamond" w:cs="Times New Roman"/>
          <w:color w:val="000000" w:themeColor="text1"/>
          <w:sz w:val="30"/>
          <w:szCs w:val="30"/>
          <w:lang w:eastAsia="it-IT"/>
        </w:rPr>
        <w:t xml:space="preserve"> quale conseguenza dell’illegittimo esercizio dell’attività amministrativa.</w:t>
      </w:r>
    </w:p>
    <w:p w14:paraId="0EB1E205" w14:textId="77777777" w:rsidR="0054236C" w:rsidRPr="00AD60DF" w:rsidRDefault="0054236C" w:rsidP="0054236C">
      <w:pPr>
        <w:spacing w:after="0" w:line="240" w:lineRule="auto"/>
        <w:ind w:left="0" w:right="0"/>
        <w:rPr>
          <w:rFonts w:ascii="Times New Roman" w:eastAsia="Times New Roman" w:hAnsi="Times New Roman" w:cs="Times New Roman"/>
          <w:color w:val="000000" w:themeColor="text1"/>
          <w:sz w:val="24"/>
          <w:szCs w:val="24"/>
          <w:lang w:eastAsia="it-IT"/>
        </w:rPr>
      </w:pPr>
      <w:r w:rsidRPr="00AD60DF">
        <w:rPr>
          <w:rFonts w:ascii="Times New Roman" w:eastAsia="Times New Roman" w:hAnsi="Times New Roman" w:cs="Times New Roman"/>
          <w:color w:val="000000" w:themeColor="text1"/>
          <w:sz w:val="27"/>
          <w:szCs w:val="27"/>
          <w:lang w:eastAsia="it-IT"/>
        </w:rPr>
        <w:br/>
      </w:r>
    </w:p>
    <w:p w14:paraId="5938904A" w14:textId="77777777" w:rsidR="0054236C" w:rsidRPr="00AD60DF" w:rsidRDefault="0054236C" w:rsidP="0054236C">
      <w:pPr>
        <w:spacing w:after="0" w:line="240" w:lineRule="auto"/>
        <w:ind w:left="0" w:right="0"/>
        <w:rPr>
          <w:rFonts w:ascii="Times New Roman" w:eastAsia="Times New Roman" w:hAnsi="Times New Roman" w:cs="Times New Roman"/>
          <w:color w:val="000000" w:themeColor="text1"/>
          <w:sz w:val="24"/>
          <w:szCs w:val="24"/>
          <w:lang w:eastAsia="it-IT"/>
        </w:rPr>
      </w:pPr>
      <w:r w:rsidRPr="00AD60DF">
        <w:rPr>
          <w:rFonts w:ascii="Times New Roman" w:eastAsia="Times New Roman" w:hAnsi="Times New Roman" w:cs="Times New Roman"/>
          <w:color w:val="000000" w:themeColor="text1"/>
          <w:sz w:val="27"/>
          <w:szCs w:val="27"/>
          <w:lang w:eastAsia="it-IT"/>
        </w:rPr>
        <w:br/>
      </w:r>
    </w:p>
    <w:p w14:paraId="6A0442BE"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Visti il ricorso e i relativi allegati;</w:t>
      </w:r>
    </w:p>
    <w:p w14:paraId="40816763"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Visto l'atto di costituzione in giudizio del Comune di Portogruaro;</w:t>
      </w:r>
    </w:p>
    <w:p w14:paraId="3F681E2D"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Visti tutti gli atti della causa;</w:t>
      </w:r>
    </w:p>
    <w:p w14:paraId="185A7CB1"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Relatore nell'udienza pubblica del giorno 19 giugno 2025 il dott. Marco Rinaldi e uditi per le parti i difensori </w:t>
      </w:r>
      <w:proofErr w:type="spellStart"/>
      <w:r w:rsidRPr="00AD60DF">
        <w:rPr>
          <w:rFonts w:ascii="Garamond" w:eastAsia="Times New Roman" w:hAnsi="Garamond" w:cs="Times New Roman"/>
          <w:color w:val="000000" w:themeColor="text1"/>
          <w:sz w:val="30"/>
          <w:szCs w:val="30"/>
          <w:lang w:eastAsia="it-IT"/>
        </w:rPr>
        <w:t>Panzarino</w:t>
      </w:r>
      <w:proofErr w:type="spellEnd"/>
      <w:r w:rsidRPr="00AD60DF">
        <w:rPr>
          <w:rFonts w:ascii="Garamond" w:eastAsia="Times New Roman" w:hAnsi="Garamond" w:cs="Times New Roman"/>
          <w:color w:val="000000" w:themeColor="text1"/>
          <w:sz w:val="30"/>
          <w:szCs w:val="30"/>
          <w:lang w:eastAsia="it-IT"/>
        </w:rPr>
        <w:t xml:space="preserve"> e Maretto;</w:t>
      </w:r>
    </w:p>
    <w:p w14:paraId="626E4BB2"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Ritenuto e considerato in fatto e diritto quanto segue.</w:t>
      </w:r>
    </w:p>
    <w:p w14:paraId="3C5ACAC0" w14:textId="77777777" w:rsidR="0054236C" w:rsidRPr="00AD60DF" w:rsidRDefault="0054236C" w:rsidP="0054236C">
      <w:pPr>
        <w:spacing w:after="0" w:line="240" w:lineRule="auto"/>
        <w:ind w:left="0" w:right="0"/>
        <w:rPr>
          <w:rFonts w:ascii="Times New Roman" w:eastAsia="Times New Roman" w:hAnsi="Times New Roman" w:cs="Times New Roman"/>
          <w:color w:val="000000" w:themeColor="text1"/>
          <w:sz w:val="24"/>
          <w:szCs w:val="24"/>
          <w:lang w:eastAsia="it-IT"/>
        </w:rPr>
      </w:pPr>
      <w:r w:rsidRPr="00AD60DF">
        <w:rPr>
          <w:rFonts w:ascii="Times New Roman" w:eastAsia="Times New Roman" w:hAnsi="Times New Roman" w:cs="Times New Roman"/>
          <w:color w:val="000000" w:themeColor="text1"/>
          <w:sz w:val="27"/>
          <w:szCs w:val="27"/>
          <w:lang w:eastAsia="it-IT"/>
        </w:rPr>
        <w:br/>
      </w:r>
    </w:p>
    <w:p w14:paraId="0220EE7D" w14:textId="77777777" w:rsidR="0054236C" w:rsidRPr="00AD60DF" w:rsidRDefault="0054236C" w:rsidP="0054236C">
      <w:pPr>
        <w:spacing w:after="0" w:line="540" w:lineRule="atLeast"/>
        <w:ind w:left="0" w:right="0"/>
        <w:jc w:val="center"/>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FATTO e DIRITTO</w:t>
      </w:r>
    </w:p>
    <w:p w14:paraId="4469D081"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Con deliberazione di Giunta Regionale n. 390 dell’08.04.2022 veniva approvato il Bando pubblico, per la presentazione di proposte di intervento per il restauro e la valorizzazione del patrimonio architettonico e paesaggistico rurale, da finanziare nell’ambito del PNRR.</w:t>
      </w:r>
    </w:p>
    <w:p w14:paraId="2A70CD51"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lastRenderedPageBreak/>
        <w:t>La finalità del Bando era quella di recuperare il patrimonio edilizio per dare impulso ad un processo di conservazione e valorizzazione di una articolata gamma di edifici rurali.</w:t>
      </w:r>
    </w:p>
    <w:p w14:paraId="44816ED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Il Bando prevedeva, pertanto, il finanziamento di opere riconducibili al risanamento conservativo degli edifici rurali.</w:t>
      </w:r>
    </w:p>
    <w:p w14:paraId="34864D2E"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 ricorrenti presentavano istanza di contributo PNRR per un intervento di ristrutturazione, con ricostruzione del fabbricato e cambio di destinazione d’uso da annesso rustico a residenziale (mentre per parte dell’edificio restava ancora destinata ad annesso rustico).</w:t>
      </w:r>
    </w:p>
    <w:p w14:paraId="1F4BA917"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L’AVEPA (Agenzia Veneta per i pagamenti in agricoltura) dichiarava l’ammissibilità del progetto presentato dai ricorrenti con un contributo concedibile pari ad euro 150.000,00. Conseguentemente in data 12.09.2022 veniva rilasciato il </w:t>
      </w:r>
      <w:proofErr w:type="spellStart"/>
      <w:r w:rsidRPr="00AD60DF">
        <w:rPr>
          <w:rFonts w:ascii="Garamond" w:eastAsia="Times New Roman" w:hAnsi="Garamond" w:cs="Times New Roman"/>
          <w:color w:val="000000" w:themeColor="text1"/>
          <w:sz w:val="30"/>
          <w:szCs w:val="30"/>
          <w:lang w:eastAsia="it-IT"/>
        </w:rPr>
        <w:t>Pdc</w:t>
      </w:r>
      <w:proofErr w:type="spellEnd"/>
      <w:r w:rsidRPr="00AD60DF">
        <w:rPr>
          <w:rFonts w:ascii="Garamond" w:eastAsia="Times New Roman" w:hAnsi="Garamond" w:cs="Times New Roman"/>
          <w:color w:val="000000" w:themeColor="text1"/>
          <w:sz w:val="30"/>
          <w:szCs w:val="30"/>
          <w:lang w:eastAsia="it-IT"/>
        </w:rPr>
        <w:t xml:space="preserve"> C22/038 ai sensi dell’art. 10, co. 1 lett. c) del DPR 380/2001, trattandosi di intervento di ripristino di edificio crollato parzialmente e situato in area sottoposta a tutela ai sensi dell’art. 142 del D. Lgs n. 42/2004 (vincolo paesaggistico).</w:t>
      </w:r>
    </w:p>
    <w:p w14:paraId="34A2A6DB"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La Guardia di Finanza, relativamente al progetto di recupero dell’edificio rurale finanziato dal PNRR di cui al PdC n. C22/038, eseguiva un’attività ispettiva ed accertava che, a fronte di un’autorizzazione urbanistica per la realizzazione di un intervento di ripristino tipologico di un edificio rurale, (intervento configurante una ristrutturazione di tipo “leggero”) era stata, invece, eseguita una “ristrutturazione edilizia di tipo pesante”, con totale demolizione dell’edificio e successiva ricostruzione.</w:t>
      </w:r>
    </w:p>
    <w:p w14:paraId="5EE7EEAE"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Dell’accaduto veniva informato sia AVEPA, concessionaria del contributo, che il Comune di Portogruaro.</w:t>
      </w:r>
    </w:p>
    <w:p w14:paraId="02BC823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AVEPA in data 29.05.2024 avviava il procedimento di decadenza della domanda di contributo PNRR n. 2081170/22 del 29.05.2022, poi conclusosi con l’adozione del </w:t>
      </w:r>
      <w:r w:rsidRPr="00AD60DF">
        <w:rPr>
          <w:rFonts w:ascii="Garamond" w:eastAsia="Times New Roman" w:hAnsi="Garamond" w:cs="Times New Roman"/>
          <w:color w:val="000000" w:themeColor="text1"/>
          <w:sz w:val="30"/>
          <w:szCs w:val="30"/>
          <w:lang w:eastAsia="it-IT"/>
        </w:rPr>
        <w:lastRenderedPageBreak/>
        <w:t>Decreto di decadenza del 19.08.2024 e la conseguente revoca dell’intero contributo di euro 150.000,00 assunta in data 27.09.2024.</w:t>
      </w:r>
    </w:p>
    <w:p w14:paraId="14DC859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Il Comune di Portogruaro avviava, invece, il procedimento repressivo per il presunto abuso edilizio ex artt. 31, 32, 33 DPR 380/2001.</w:t>
      </w:r>
    </w:p>
    <w:p w14:paraId="6AFDFD9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Accertato, nel corso dell’istruttoria, che la violazione riscontrata rientrava nelle ipotesi di difformità parziali ex art. 34 DPR 380/2001 il Comune provvedeva all’archiviazione del precedente procedimento e al contestuale avvio del procedimento ex art. 34 DPR 380/2021.</w:t>
      </w:r>
    </w:p>
    <w:p w14:paraId="2CF6BE36"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Seguiva l’emissione dell’ordinanza di demolizione delle opere eseguite in difformità dal PdC rilasciato.</w:t>
      </w:r>
    </w:p>
    <w:p w14:paraId="10EBD930"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Al fine di sanare l’abuso, i ricorrenti, ritenendo l’intervento di demolizione e ricostruzione ammissibile sulla base delle vigenti norme del PI, presentavano una Scia in sanatoria ex </w:t>
      </w:r>
      <w:r w:rsidRPr="00AD60DF">
        <w:rPr>
          <w:rFonts w:ascii="Garamond" w:eastAsia="Times New Roman" w:hAnsi="Garamond" w:cs="Times New Roman"/>
          <w:b/>
          <w:bCs/>
          <w:color w:val="000000" w:themeColor="text1"/>
          <w:sz w:val="30"/>
          <w:szCs w:val="30"/>
          <w:lang w:eastAsia="it-IT"/>
        </w:rPr>
        <w:t>art. 36 bis TUE</w:t>
      </w:r>
      <w:r w:rsidRPr="00AD60DF">
        <w:rPr>
          <w:rFonts w:ascii="Garamond" w:eastAsia="Times New Roman" w:hAnsi="Garamond" w:cs="Times New Roman"/>
          <w:color w:val="000000" w:themeColor="text1"/>
          <w:sz w:val="30"/>
          <w:szCs w:val="30"/>
          <w:lang w:eastAsia="it-IT"/>
        </w:rPr>
        <w:t xml:space="preserve"> ritenendo sussistente la doppia conformità urbanistica ed edilizia.</w:t>
      </w:r>
    </w:p>
    <w:p w14:paraId="42F7C96C"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Il Comune di Portogruaro, ritenuti insussistenti i presupposti per la sanatoria edilizia, emanava la comunicazione di inefficacia della Scia in sanatoria (ord. prot. n. 47134 del 14.11.2024).</w:t>
      </w:r>
    </w:p>
    <w:p w14:paraId="36F71CE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Con il ricorso all’esame i ricorrenti hanno chiesto l’annullamento dell’ordinanza di demolizione e della dichiarazione di inefficacia della Scia in sanatoria, deducendone l’illegittimità per violazione di legge ed eccesso di potere, oltre al risarcimento del danno.</w:t>
      </w:r>
    </w:p>
    <w:p w14:paraId="411CE6F8"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Sostengono, in particolare, i ricorrenti che:</w:t>
      </w:r>
    </w:p>
    <w:p w14:paraId="0CD58726"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a) nessun abuso edilizio era riscontrabile nella fattispecie, poiché il permesso di costruire non prevedeva affatto la conservazione di alcune porzioni del muro perimetrale dell’immobile diruto;</w:t>
      </w:r>
    </w:p>
    <w:p w14:paraId="76AE621E"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b) la sanzione demolitoria irrogata dal Comune, ex art. 34 TU, per l’intervento di demo-ricostruzione asseritamente eseguito in parziale difformità dal permesso di </w:t>
      </w:r>
      <w:r w:rsidRPr="00AD60DF">
        <w:rPr>
          <w:rFonts w:ascii="Garamond" w:eastAsia="Times New Roman" w:hAnsi="Garamond" w:cs="Times New Roman"/>
          <w:color w:val="000000" w:themeColor="text1"/>
          <w:sz w:val="30"/>
          <w:szCs w:val="30"/>
          <w:lang w:eastAsia="it-IT"/>
        </w:rPr>
        <w:lastRenderedPageBreak/>
        <w:t>costruire era, comunque, illegittima, per non avere l’Ente Civico optato per la più mite sanzione pecuniaria di cui all’art. 37 del medesimo testo unico (cd. fiscalizzazione dell’abuso);</w:t>
      </w:r>
    </w:p>
    <w:p w14:paraId="1AF70446"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 in ogni caso risulta illegittima la dichiarazione d’inefficacia della S.C.I.A. in sanatoria proposta dai ricorrenti ai sensi dell’art. 36 bis, D.P.R. 380/2001, essendo l’intervenuta parziale demolizione dei muri collabenti conforme alla normativa urbanistica vigente tanto al momento della sua realizzazione quanto allo stato attuale;</w:t>
      </w:r>
    </w:p>
    <w:p w14:paraId="116BB026"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d) i provvedimenti comunali avevano arrecato un danno ingiusto ai ricorrenti, avendo determinato la revoca del contributo di € 150.000 originariamente concesso da AVEPA.</w:t>
      </w:r>
    </w:p>
    <w:p w14:paraId="6B51568D"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Si è costituito in giudizio l’Ente Civico, chiedendo il rigetto delle avverse pretese.</w:t>
      </w:r>
    </w:p>
    <w:p w14:paraId="2A725AA2"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All’udienza pubblica in epigrafe indicata la causa è passata in decisione.</w:t>
      </w:r>
    </w:p>
    <w:p w14:paraId="000BB2A0"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Il primo motivo di ricorso con cui gli odierni istanti deducono che il permesso di costruire consentiva la demolizione e ricostruzione dell’edificio, mentre non prescriveva affatto la conservazione delle porzioni di muro semi crollate, è infondato.</w:t>
      </w:r>
    </w:p>
    <w:p w14:paraId="5BD05953"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Dalla documentazione allegata al PdC (relazione fotografica ed elaborati grafici), si evince, infatti, che il progetto autorizzato prevedeva il ripristino delle parti di edificio non più presenti, senza ricorrere alla totale demo-ricostruzione.</w:t>
      </w:r>
    </w:p>
    <w:p w14:paraId="62FF9DA4"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Invero, nelle tavole di progetto approvate non era prevista la demolizione totale del fabbricato, ma la ristrutturazione della parte esistente e la ricomposizione volumetrica delle parti mancanti dovute al crollo, attraverso la ricostruzione del solaio interpiano, della copertura e la dotazione degli impianti tecnologici. Ciò emerge in particolare dalla Tav. 4 del progetto dalla quale risulta che una porzione rilevante delle murature perimetrali del fabbricato (i muri perimetrali sono indicati con il colore grigio scuro) venivano conservate e consolidate.</w:t>
      </w:r>
    </w:p>
    <w:p w14:paraId="034F97EA"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lastRenderedPageBreak/>
        <w:t>Il Comune non era tenuto a svolgere particolari verifiche o a scovare eventuali errori di progettazione, contraddizioni o altre incongruenze tra la Tav. 4 e gli altri elaborati tecnici presentati dal proponente, ricadendo sull’interessato, in base al principio di autoresponsabilità, le eventuali conseguenze negative derivanti da errori di progettazione o altre condotte imperite tenute nella redazione dei progetti.</w:t>
      </w:r>
    </w:p>
    <w:p w14:paraId="1F839EBD"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Che il permesso di costruire di cui trattasi non consentisse la totale demo-ricostruzione dell’edificio diruto per cui è causa è circostanza di cui sono, in qualche modo, consapevoli gli stessi ricorrenti, i quali hanno presentato una Scia in sanatoria proprio al fine di sanare l’abuso contestato dal Comune (lavori eseguiti in parziale difformità dal permesso di costruire).</w:t>
      </w:r>
    </w:p>
    <w:p w14:paraId="176D6B04" w14:textId="32951186" w:rsidR="0054236C" w:rsidRPr="00AD60DF" w:rsidRDefault="0054236C" w:rsidP="0054236C">
      <w:pPr>
        <w:spacing w:after="0" w:line="520" w:lineRule="atLeast"/>
        <w:ind w:left="0" w:right="0"/>
        <w:jc w:val="both"/>
        <w:rPr>
          <w:rFonts w:ascii="Garamond" w:eastAsia="Times New Roman" w:hAnsi="Garamond" w:cs="Times New Roman"/>
          <w:b/>
          <w:bCs/>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Infondato è, altresì, il secondo motivo di ricorso</w:t>
      </w:r>
      <w:r w:rsidR="00AA7FA1" w:rsidRPr="00AD60DF">
        <w:rPr>
          <w:rFonts w:ascii="Garamond" w:eastAsia="Times New Roman" w:hAnsi="Garamond" w:cs="Times New Roman"/>
          <w:color w:val="000000" w:themeColor="text1"/>
          <w:sz w:val="30"/>
          <w:szCs w:val="30"/>
          <w:lang w:eastAsia="it-IT"/>
        </w:rPr>
        <w:t xml:space="preserve"> </w:t>
      </w:r>
      <w:r w:rsidRPr="00AD60DF">
        <w:rPr>
          <w:rFonts w:ascii="Garamond" w:eastAsia="Times New Roman" w:hAnsi="Garamond" w:cs="Times New Roman"/>
          <w:b/>
          <w:bCs/>
          <w:color w:val="000000" w:themeColor="text1"/>
          <w:sz w:val="30"/>
          <w:szCs w:val="30"/>
          <w:lang w:eastAsia="it-IT"/>
        </w:rPr>
        <w:t>con cui gli odierni istanti deducono che la P.A. avrebbe dovuto procedere alla fiscalizzazione dell’abuso, anziché emettere l’ordine di demolizione.</w:t>
      </w:r>
    </w:p>
    <w:p w14:paraId="5BAF4554"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Il motivo non ha pregio in quanto </w:t>
      </w:r>
      <w:r w:rsidRPr="00AD60DF">
        <w:rPr>
          <w:rFonts w:ascii="Garamond" w:eastAsia="Times New Roman" w:hAnsi="Garamond" w:cs="Times New Roman"/>
          <w:b/>
          <w:bCs/>
          <w:color w:val="000000" w:themeColor="text1"/>
          <w:sz w:val="30"/>
          <w:szCs w:val="30"/>
          <w:lang w:eastAsia="it-IT"/>
        </w:rPr>
        <w:t>il potere di disporre la fiscalizzazione degli abusi, disciplinato dall'art. 34, d.P.R. n. 380/2001, ha valore eccezionale e derogatorio e deve essere inteso nel senso che non compete all'Amministrazione procedente valutare, prima dell'emissione dell'ordine di demolizione dell'abuso, se la misura possa essere applicata, incombendo, piuttosto sul privato interessato, la dimostrazione, in modo rigoroso e nella fase esecutiva, della obiettiva impossibilità di ottemperare all'ordine stesso senza pregiudizio per la parte conforme (Tar Campania, Napoli, n. 6089/2023; Tar Sicilia, Palermo, n. 1025/2024; Cons. Stato, sez. VI, n. 9572/2023</w:t>
      </w:r>
      <w:r w:rsidRPr="00AD60DF">
        <w:rPr>
          <w:rFonts w:ascii="Garamond" w:eastAsia="Times New Roman" w:hAnsi="Garamond" w:cs="Times New Roman"/>
          <w:color w:val="000000" w:themeColor="text1"/>
          <w:sz w:val="30"/>
          <w:szCs w:val="30"/>
          <w:lang w:eastAsia="it-IT"/>
        </w:rPr>
        <w:t>). Prova che, nella fattispecie, non è stata fornita dai ricorrenti, i quali non consta abbiano mai presentato neppure alcuna istanza di fiscalizzazione dell’abuso.</w:t>
      </w:r>
    </w:p>
    <w:p w14:paraId="6E038F4A" w14:textId="77777777" w:rsidR="0054236C" w:rsidRPr="00AD60DF" w:rsidRDefault="0054236C" w:rsidP="0054236C">
      <w:pPr>
        <w:spacing w:after="0" w:line="520" w:lineRule="atLeast"/>
        <w:ind w:left="0" w:right="0"/>
        <w:jc w:val="both"/>
        <w:rPr>
          <w:rFonts w:ascii="Garamond" w:eastAsia="Times New Roman" w:hAnsi="Garamond" w:cs="Times New Roman"/>
          <w:b/>
          <w:bCs/>
          <w:color w:val="000000" w:themeColor="text1"/>
          <w:sz w:val="30"/>
          <w:szCs w:val="30"/>
          <w:lang w:eastAsia="it-IT"/>
        </w:rPr>
      </w:pPr>
      <w:r w:rsidRPr="00AD60DF">
        <w:rPr>
          <w:rFonts w:ascii="Garamond" w:eastAsia="Times New Roman" w:hAnsi="Garamond" w:cs="Times New Roman"/>
          <w:b/>
          <w:bCs/>
          <w:color w:val="000000" w:themeColor="text1"/>
          <w:sz w:val="30"/>
          <w:szCs w:val="30"/>
          <w:lang w:eastAsia="it-IT"/>
        </w:rPr>
        <w:t xml:space="preserve">Il Collegio reputa, invece, meritevole di accoglimento il terzo motivo di ricorso con cui i ricorrenti deducono l’illegittimità della dichiarazione </w:t>
      </w:r>
      <w:r w:rsidRPr="00AD60DF">
        <w:rPr>
          <w:rFonts w:ascii="Garamond" w:eastAsia="Times New Roman" w:hAnsi="Garamond" w:cs="Times New Roman"/>
          <w:b/>
          <w:bCs/>
          <w:color w:val="000000" w:themeColor="text1"/>
          <w:sz w:val="30"/>
          <w:szCs w:val="30"/>
          <w:lang w:eastAsia="it-IT"/>
        </w:rPr>
        <w:lastRenderedPageBreak/>
        <w:t>d’inefficacia della S.C.I.A. in sanatoria proposta ai sensi dell’art. 36 bis, D.P.R. 380/2001, essendo l’intervenuta parziale demolizione dei muri collabenti conforme alla normativa urbanistica vigente sia al momento della sua realizzazione (2022) che al momento della presentazione della Scia in sanatoria (2024).</w:t>
      </w:r>
    </w:p>
    <w:p w14:paraId="199CF9AE"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La doglianza merita condivisione in quanto, l’edificio rurale per cui è causa era ed è identificato nello strumento urbanistico vigente quale immobile con valore storico ambientale nel contesto della scheda n. 243, la quale reca una normativa di protezione cui rinvia i l’art. 42, </w:t>
      </w:r>
      <w:proofErr w:type="spellStart"/>
      <w:r w:rsidRPr="00AD60DF">
        <w:rPr>
          <w:rFonts w:ascii="Garamond" w:eastAsia="Times New Roman" w:hAnsi="Garamond" w:cs="Times New Roman"/>
          <w:color w:val="000000" w:themeColor="text1"/>
          <w:sz w:val="30"/>
          <w:szCs w:val="30"/>
          <w:lang w:eastAsia="it-IT"/>
        </w:rPr>
        <w:t>n.t.o</w:t>
      </w:r>
      <w:proofErr w:type="spellEnd"/>
      <w:r w:rsidRPr="00AD60DF">
        <w:rPr>
          <w:rFonts w:ascii="Garamond" w:eastAsia="Times New Roman" w:hAnsi="Garamond" w:cs="Times New Roman"/>
          <w:color w:val="000000" w:themeColor="text1"/>
          <w:sz w:val="30"/>
          <w:szCs w:val="30"/>
          <w:lang w:eastAsia="it-IT"/>
        </w:rPr>
        <w:t xml:space="preserve"> del PI (vigente tanto all’epoca dell’esecuzione dei lavori quanto all’attualità).</w:t>
      </w:r>
    </w:p>
    <w:p w14:paraId="36233BFD"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Tale schedatura (che riguarda 5 distinti edifici ricompresi in una stessa corte), al di là della descrizione dei singoli immobili, indica in particolare quale tipo di intervento sia ammissibile su ciascuno di essi.</w:t>
      </w:r>
    </w:p>
    <w:p w14:paraId="00C1201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In linea generale, mentre per i fabbricati identificati con i nn. 1-4 si prescrive l’intervento di restauro e risanamento conservativo, in relazione all’edificio in esame (allibrato al numero 5) si prevede per converso – a riscontro del parziale crollo dell’edificio – il maggior intervento di “ripristino tipologico – RTE/f”.</w:t>
      </w:r>
    </w:p>
    <w:p w14:paraId="0BF901A1"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La definizione recata dalla schedatura per l’immobile specifico (“RTE/f”) fa riferimento ad una definizione di intervento edilizio (recata dal REC previgente) ormai abrogata da alcuni anni e che comunque indicava tale intervento come una delle modalità di esecuzione della ristrutturazione edilizia, utilizzando categorie comunque riconducibili alle definizioni di cui all’art. 3, D.P.R. 380/2001 (le quali notoriamente “prevalgono sulle disposizioni degli strumenti urbanistici generali e dei regolamenti edilizi” ai sensi comma 2 del medesimo articolo) e quindi comunque idonee a consentirne ancor oggi la definizione giuridica con espresso riferimento ad un (i) intervento di ristrutturazione mediante (ii) ripristino tipologico.</w:t>
      </w:r>
    </w:p>
    <w:p w14:paraId="6AC026D9"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lastRenderedPageBreak/>
        <w:t>A questo riguardo, corre l’obbligo di precisare che il cosiddetto “rispristino tipologico” non è cosa diversa o “minore” rispetto alla ristrutturazione, ma non è che una delle forme mediante le quali si esplica la ristrutturazione edilizia; e infatti, secondo la definizione recata dall’art. 3, co. 1, lett. d), D.P.R. 380/2001“costituiscono inoltre ristrutturazione edilizia gli interventi volti al ripristino di edifici, o parti di essi, eventualmente crollati o demoliti, attraverso la loro ricostruzione, purché sia possibile accertarne la preesistente consistenza”.</w:t>
      </w:r>
    </w:p>
    <w:p w14:paraId="689F425C"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Ne deriva che non esiste un intervento di “ripristino tipologico” in sé distinto (altro e diverso) da quello di ristrutturazione, ma soltanto un intervento di “ristrutturazione da attuarsi mediante rispristino tipologico”.</w:t>
      </w:r>
    </w:p>
    <w:p w14:paraId="40C1BEC1"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Ciò che impone (e consente) il ripristino tipologico è, infatti, un intervento di ristrutturazione edilizia mediante il quale si perviene alla ricostruzione di edifici diruti, in tutto o parzialmente crollati, di cui è possibile reperire adeguata documentazione circa la loro organizzazione tipologica originaria, individuabile oltre che rispetto all’edificio in sé considerato, anche in altre unità edilizie dello stesso periodo storico e della stessa area culturale, ossia con riguardo a stilemi e tipologie tradizionali e locali.</w:t>
      </w:r>
    </w:p>
    <w:p w14:paraId="63BFCB33"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Ciò che la norma mira a tutelare non è dunque uno specifico elemento materiale di pregio da conservare (in tal caso richiedendosi un intervento di restauro conservativo) quanto piuttosto un modello tipologico tradizionale da riprodurre in quanto storicamente esistito. Sotto questo profilo, l’intervento in sé è caratterizzato non tanto dalla modalità esecutiva – che non viene definita dalla legge, se non mediante il generico riferimento di appartenenza alla categoria della “ristrutturazione” – ma dal risultato di cui si impone il raggiungimento, ossia, per l’appunto “il ripristino” di ciò che c’era e non c’è più.</w:t>
      </w:r>
    </w:p>
    <w:p w14:paraId="4FE3629B"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Ciò posto, neppure può accogliersi la tesi seguita dal Comune nell’adottare il diniego (rectius: l’inibitoria degli effetti) della Scia in sanatoria, laddove si sostiene </w:t>
      </w:r>
      <w:r w:rsidRPr="00AD60DF">
        <w:rPr>
          <w:rFonts w:ascii="Garamond" w:eastAsia="Times New Roman" w:hAnsi="Garamond" w:cs="Times New Roman"/>
          <w:color w:val="000000" w:themeColor="text1"/>
          <w:sz w:val="30"/>
          <w:szCs w:val="30"/>
          <w:lang w:eastAsia="it-IT"/>
        </w:rPr>
        <w:lastRenderedPageBreak/>
        <w:t>che – se è vero che il ripristino tipologico è una forma di ristrutturazione edilizia – ciò non significa che il ripristino tipologico potrebbe sempre avvenire in tutte le forme che sono ammesse per la ristrutturazione edilizia.</w:t>
      </w:r>
    </w:p>
    <w:p w14:paraId="614AB08B"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L’argomento potrebbe assumere rilevanza laddove lo strumento urbanistico – con riferimento all’edificio in questione, ossia il n. 5 della scheda 243 – avesse precisato, in effetti, l’obbligo di conservazione di tutte e alcune delle parti dirute dell’edificio </w:t>
      </w:r>
      <w:proofErr w:type="spellStart"/>
      <w:r w:rsidRPr="00AD60DF">
        <w:rPr>
          <w:rFonts w:ascii="Garamond" w:eastAsia="Times New Roman" w:hAnsi="Garamond" w:cs="Times New Roman"/>
          <w:color w:val="000000" w:themeColor="text1"/>
          <w:sz w:val="30"/>
          <w:szCs w:val="30"/>
          <w:lang w:eastAsia="it-IT"/>
        </w:rPr>
        <w:t>semicrollato</w:t>
      </w:r>
      <w:proofErr w:type="spellEnd"/>
      <w:r w:rsidRPr="00AD60DF">
        <w:rPr>
          <w:rFonts w:ascii="Garamond" w:eastAsia="Times New Roman" w:hAnsi="Garamond" w:cs="Times New Roman"/>
          <w:color w:val="000000" w:themeColor="text1"/>
          <w:sz w:val="30"/>
          <w:szCs w:val="30"/>
          <w:lang w:eastAsia="it-IT"/>
        </w:rPr>
        <w:t>, così limitando l’operatività della norma di ristrutturazione solo ad alcune delle metodologie da essa ammesse e previste (ciò che peraltro non è raro rinvenire nei gradi di tutela disciplinati dai Piani Regolatori rispetto dei beni ritenuti di pregio e che recano indicazioni quali ad esempio quelle di “ristrutturazione parziale senza demolizione”). Ma nulla del genere è prescritto dalla schedatura riguardante l’immobile in esame.</w:t>
      </w:r>
    </w:p>
    <w:p w14:paraId="0963B557"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E invero in nessuna parte la scheda 243 indica o anche solo allude alla conservazione di tutto o parte dell’edificio diruto. Sotto questo profilo, il riferimento alla ristrutturazione edilizia con ripristino tipologico fatto dalla scheda non può ritenersi finalizzato a limitare, nelle modalità costruttive, l’intervento di ristrutturazione ammesso (vietandone in tutto o in parte le tecniche esecutive materiali) essendo semmai volto proprio a consentire il ridetto intervento, imponendo la ricostruzione (prima documentale, quindi materiale) degli elementi architettonici e dimensionali accertabili come preesistenti: questi ultimi (e non altri) essendo gli unici limiti desumibili rispetto all’intervento di recupero.</w:t>
      </w:r>
    </w:p>
    <w:p w14:paraId="51309336"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u w:val="single"/>
          <w:lang w:eastAsia="it-IT"/>
        </w:rPr>
      </w:pPr>
      <w:r w:rsidRPr="00DA2FCB">
        <w:rPr>
          <w:rFonts w:ascii="Garamond" w:eastAsia="Times New Roman" w:hAnsi="Garamond" w:cs="Times New Roman"/>
          <w:color w:val="000000" w:themeColor="text1"/>
          <w:sz w:val="30"/>
          <w:szCs w:val="30"/>
          <w:lang w:eastAsia="it-IT"/>
        </w:rPr>
        <w:t>Per quanto sin qui esposto, la demolizione dei lacerti di muro residui dell’edificio preesistente –</w:t>
      </w:r>
      <w:proofErr w:type="spellStart"/>
      <w:r w:rsidRPr="00DA2FCB">
        <w:rPr>
          <w:rFonts w:ascii="Garamond" w:eastAsia="Times New Roman" w:hAnsi="Garamond" w:cs="Times New Roman"/>
          <w:color w:val="000000" w:themeColor="text1"/>
          <w:sz w:val="30"/>
          <w:szCs w:val="30"/>
          <w:lang w:eastAsia="it-IT"/>
        </w:rPr>
        <w:t>benchè</w:t>
      </w:r>
      <w:proofErr w:type="spellEnd"/>
      <w:r w:rsidRPr="00DA2FCB">
        <w:rPr>
          <w:rFonts w:ascii="Garamond" w:eastAsia="Times New Roman" w:hAnsi="Garamond" w:cs="Times New Roman"/>
          <w:color w:val="000000" w:themeColor="text1"/>
          <w:sz w:val="30"/>
          <w:szCs w:val="30"/>
          <w:lang w:eastAsia="it-IT"/>
        </w:rPr>
        <w:t xml:space="preserve"> non prevista dal permesso di costruire rilasciato ai ricorrenti nel 2008 – ben poteva, come potrebbe oggi, essere legittimamente effettuata, alla stregua delle prescrizioni di P.I. e della vigente schedatura dell’edificio, con conseguente illegittimità del contestato diniego di sanatoria (dichiarazione di inefficacia della Scia) ex art. 36 bis D.P.R. 380/2001.</w:t>
      </w:r>
    </w:p>
    <w:p w14:paraId="4F8C58D5"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lastRenderedPageBreak/>
        <w:t>Di tutto ciò sembra, in qualche misura, consapevole lo stesso Comune, laddove sostiene, nelle proprie difese, che “fronte dell’impossibilità (ndr dedotta dai ricorrenti) accertata nella realizzazione dei lavori autorizzati era doveroso chiedere la modifica del permesso di costruire. Solo in tale circostanza l’Amministrazione avrebbe potuto valutare e modificare il relativo permesso di costruire”, il che lascia intendere che l’intervento di demo-ricostruzione era assentibile in base alla disciplina urbanistica vigente al momento della realizzazione dell’opera e all’attualità.</w:t>
      </w:r>
    </w:p>
    <w:p w14:paraId="5638B187"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Va, invece, respinta la domanda risarcitoria formulata dagli odierni ricorrenti.</w:t>
      </w:r>
    </w:p>
    <w:p w14:paraId="57FF7330"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E ciò non solo perché, come visto, l’ordine di demolizione era legittimo, ma anche perché non sussiste un nesso di causalità, immediato e diretto, tra i provvedimenti comunali (incluso il diniego di sanatoria) e la decadenza del contributo PNRR disposta da AVEPA, che ha fatto seguito ad accertamenti della Guardia di Finanza motivati sulla base delle caratteristiche dell’intervento ritenute non coerenti con le specifiche finalità del Bando.</w:t>
      </w:r>
    </w:p>
    <w:p w14:paraId="7DF2EEE5"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Non consta inoltre che la revoca (decadenza) del finanziamento sia stata annullata dall’autorità giudiziaria (e neppure impugnata dai ricorrenti), </w:t>
      </w:r>
      <w:proofErr w:type="spellStart"/>
      <w:r w:rsidRPr="00AD60DF">
        <w:rPr>
          <w:rFonts w:ascii="Garamond" w:eastAsia="Times New Roman" w:hAnsi="Garamond" w:cs="Times New Roman"/>
          <w:color w:val="000000" w:themeColor="text1"/>
          <w:sz w:val="30"/>
          <w:szCs w:val="30"/>
          <w:lang w:eastAsia="it-IT"/>
        </w:rPr>
        <w:t>sicchè</w:t>
      </w:r>
      <w:proofErr w:type="spellEnd"/>
      <w:r w:rsidRPr="00AD60DF">
        <w:rPr>
          <w:rFonts w:ascii="Garamond" w:eastAsia="Times New Roman" w:hAnsi="Garamond" w:cs="Times New Roman"/>
          <w:color w:val="000000" w:themeColor="text1"/>
          <w:sz w:val="30"/>
          <w:szCs w:val="30"/>
          <w:lang w:eastAsia="it-IT"/>
        </w:rPr>
        <w:t xml:space="preserve"> non vi sono ragioni per ritenere che il Comune debba risarcire danni (asseritamente) causati, in via diretta ed immediata, da un provvedimento adottato da altra autorità amministrativa.</w:t>
      </w:r>
    </w:p>
    <w:p w14:paraId="6BC3CE0F"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 xml:space="preserve">In conclusione, va accolta la domanda di annullamento del diniego di sanatoria (dichiarazione di inefficacia della Scia) ex art. 36 bis D.P.R. 380/2001, mentre vanno respinte sia la domanda </w:t>
      </w:r>
      <w:proofErr w:type="spellStart"/>
      <w:r w:rsidRPr="00AD60DF">
        <w:rPr>
          <w:rFonts w:ascii="Garamond" w:eastAsia="Times New Roman" w:hAnsi="Garamond" w:cs="Times New Roman"/>
          <w:color w:val="000000" w:themeColor="text1"/>
          <w:sz w:val="30"/>
          <w:szCs w:val="30"/>
          <w:lang w:eastAsia="it-IT"/>
        </w:rPr>
        <w:t>caducatoria</w:t>
      </w:r>
      <w:proofErr w:type="spellEnd"/>
      <w:r w:rsidRPr="00AD60DF">
        <w:rPr>
          <w:rFonts w:ascii="Garamond" w:eastAsia="Times New Roman" w:hAnsi="Garamond" w:cs="Times New Roman"/>
          <w:color w:val="000000" w:themeColor="text1"/>
          <w:sz w:val="30"/>
          <w:szCs w:val="30"/>
          <w:lang w:eastAsia="it-IT"/>
        </w:rPr>
        <w:t xml:space="preserve"> del precedente ordine di demolizione che la domanda risarcitoria.</w:t>
      </w:r>
    </w:p>
    <w:p w14:paraId="51C513DA" w14:textId="77777777" w:rsidR="0054236C" w:rsidRPr="00AD60DF" w:rsidRDefault="0054236C" w:rsidP="0054236C">
      <w:pPr>
        <w:spacing w:after="0" w:line="520" w:lineRule="atLeast"/>
        <w:ind w:left="0" w:right="0"/>
        <w:jc w:val="both"/>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La peculiarità della vicenda scrutinata e la problematicità delle questioni trattate giustificano la compensazione delle spese di lite</w:t>
      </w:r>
    </w:p>
    <w:p w14:paraId="10977C86" w14:textId="77777777" w:rsidR="0054236C" w:rsidRPr="00AD60DF" w:rsidRDefault="0054236C" w:rsidP="0054236C">
      <w:pPr>
        <w:spacing w:after="0" w:line="540" w:lineRule="atLeast"/>
        <w:ind w:left="0" w:right="0"/>
        <w:jc w:val="center"/>
        <w:rPr>
          <w:rFonts w:ascii="Garamond" w:eastAsia="Times New Roman" w:hAnsi="Garamond" w:cs="Times New Roman"/>
          <w:color w:val="000000" w:themeColor="text1"/>
          <w:sz w:val="30"/>
          <w:szCs w:val="30"/>
          <w:lang w:eastAsia="it-IT"/>
        </w:rPr>
      </w:pPr>
      <w:r w:rsidRPr="00AD60DF">
        <w:rPr>
          <w:rFonts w:ascii="Garamond" w:eastAsia="Times New Roman" w:hAnsi="Garamond" w:cs="Times New Roman"/>
          <w:color w:val="000000" w:themeColor="text1"/>
          <w:sz w:val="30"/>
          <w:szCs w:val="30"/>
          <w:lang w:eastAsia="it-IT"/>
        </w:rPr>
        <w:t>P.Q.M.</w:t>
      </w:r>
    </w:p>
    <w:p w14:paraId="1E90CA7E" w14:textId="77777777" w:rsidR="0054236C" w:rsidRPr="00993DAD" w:rsidRDefault="0054236C" w:rsidP="0054236C">
      <w:pPr>
        <w:spacing w:after="0" w:line="520" w:lineRule="atLeast"/>
        <w:ind w:left="0" w:right="0"/>
        <w:jc w:val="both"/>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lastRenderedPageBreak/>
        <w:t>Il Tribunale Amministrativo Regionale per il Veneto (Sezione Seconda), definitivamente pronunciando sul ricorso, come in epigrafe proposto, lo accoglie nei limiti di cui in motivazione.</w:t>
      </w:r>
    </w:p>
    <w:p w14:paraId="33B504E3" w14:textId="77777777" w:rsidR="0054236C" w:rsidRPr="00993DAD" w:rsidRDefault="0054236C" w:rsidP="0054236C">
      <w:pPr>
        <w:spacing w:after="0" w:line="520" w:lineRule="atLeast"/>
        <w:ind w:left="0" w:right="0"/>
        <w:jc w:val="both"/>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Spese compensate.</w:t>
      </w:r>
    </w:p>
    <w:p w14:paraId="42894C62" w14:textId="77777777" w:rsidR="0054236C" w:rsidRPr="00993DAD" w:rsidRDefault="0054236C" w:rsidP="0054236C">
      <w:pPr>
        <w:spacing w:after="0" w:line="520" w:lineRule="atLeast"/>
        <w:ind w:left="0" w:right="0"/>
        <w:jc w:val="both"/>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Ordina che la presente sentenza sia eseguita dall'autorità amministrativa.</w:t>
      </w:r>
    </w:p>
    <w:p w14:paraId="2844363A" w14:textId="77777777" w:rsidR="0054236C" w:rsidRPr="00993DAD" w:rsidRDefault="0054236C" w:rsidP="0054236C">
      <w:pPr>
        <w:spacing w:after="0" w:line="520" w:lineRule="atLeast"/>
        <w:ind w:left="0" w:right="0"/>
        <w:jc w:val="both"/>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Così deciso in Venezia nella camera di consiglio del giorno 19 giugno 2025 con l'intervento dei magistrati:</w:t>
      </w:r>
    </w:p>
    <w:p w14:paraId="5BE114C1" w14:textId="77777777" w:rsidR="0054236C" w:rsidRPr="00993DAD" w:rsidRDefault="0054236C" w:rsidP="0054236C">
      <w:pPr>
        <w:spacing w:after="0" w:line="520" w:lineRule="atLeast"/>
        <w:ind w:left="0" w:right="0" w:firstLine="567"/>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Grazia Flaim, Presidente</w:t>
      </w:r>
    </w:p>
    <w:p w14:paraId="64E6071A" w14:textId="77777777" w:rsidR="0054236C" w:rsidRPr="00993DAD" w:rsidRDefault="0054236C" w:rsidP="0054236C">
      <w:pPr>
        <w:spacing w:after="0" w:line="520" w:lineRule="atLeast"/>
        <w:ind w:left="0" w:right="0" w:firstLine="567"/>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Marco Rinaldi, Consigliere, Estensore</w:t>
      </w:r>
    </w:p>
    <w:p w14:paraId="67AB6C3A" w14:textId="77777777" w:rsidR="0054236C" w:rsidRPr="00993DAD" w:rsidRDefault="0054236C" w:rsidP="0054236C">
      <w:pPr>
        <w:spacing w:after="0" w:line="520" w:lineRule="atLeast"/>
        <w:ind w:left="0" w:right="0" w:firstLine="567"/>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Andrea Rizzo, Referendario</w:t>
      </w:r>
    </w:p>
    <w:tbl>
      <w:tblPr>
        <w:tblW w:w="5000" w:type="pct"/>
        <w:tblCellMar>
          <w:top w:w="15" w:type="dxa"/>
          <w:left w:w="15" w:type="dxa"/>
          <w:bottom w:w="15" w:type="dxa"/>
          <w:right w:w="15" w:type="dxa"/>
        </w:tblCellMar>
        <w:tblLook w:val="04A0" w:firstRow="1" w:lastRow="0" w:firstColumn="1" w:lastColumn="0" w:noHBand="0" w:noVBand="1"/>
      </w:tblPr>
      <w:tblGrid>
        <w:gridCol w:w="4551"/>
        <w:gridCol w:w="83"/>
        <w:gridCol w:w="5034"/>
      </w:tblGrid>
      <w:tr w:rsidR="0054236C" w:rsidRPr="00993DAD" w14:paraId="2E4C6D74" w14:textId="77777777" w:rsidTr="00BB502D">
        <w:tc>
          <w:tcPr>
            <w:tcW w:w="0" w:type="auto"/>
            <w:vAlign w:val="center"/>
            <w:hideMark/>
          </w:tcPr>
          <w:p w14:paraId="3663C99C"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2D3A25AA"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2AC3A2E1"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6E35B6C0" w14:textId="77777777" w:rsidTr="00BB502D">
        <w:tc>
          <w:tcPr>
            <w:tcW w:w="0" w:type="auto"/>
            <w:vAlign w:val="center"/>
            <w:hideMark/>
          </w:tcPr>
          <w:p w14:paraId="450FBB34"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078D9F59"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5F26CA8F"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28AC2757" w14:textId="77777777" w:rsidTr="00BB502D">
        <w:tc>
          <w:tcPr>
            <w:tcW w:w="0" w:type="auto"/>
            <w:vAlign w:val="center"/>
            <w:hideMark/>
          </w:tcPr>
          <w:p w14:paraId="1DB0C5AF"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L'ESTENSORE</w:t>
            </w:r>
          </w:p>
        </w:tc>
        <w:tc>
          <w:tcPr>
            <w:tcW w:w="0" w:type="auto"/>
            <w:vAlign w:val="center"/>
            <w:hideMark/>
          </w:tcPr>
          <w:p w14:paraId="219C8DA3"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0DF26F80"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IL PRESIDENTE</w:t>
            </w:r>
          </w:p>
        </w:tc>
      </w:tr>
      <w:tr w:rsidR="0054236C" w:rsidRPr="00993DAD" w14:paraId="7425E783" w14:textId="77777777" w:rsidTr="00BB502D">
        <w:tc>
          <w:tcPr>
            <w:tcW w:w="0" w:type="auto"/>
            <w:vAlign w:val="center"/>
            <w:hideMark/>
          </w:tcPr>
          <w:p w14:paraId="6F6E0407"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Marco Rinaldi</w:t>
            </w:r>
          </w:p>
        </w:tc>
        <w:tc>
          <w:tcPr>
            <w:tcW w:w="0" w:type="auto"/>
            <w:vAlign w:val="center"/>
            <w:hideMark/>
          </w:tcPr>
          <w:p w14:paraId="6A9D6F0F"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34BA8FA8"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Grazia Flaim</w:t>
            </w:r>
          </w:p>
        </w:tc>
      </w:tr>
      <w:tr w:rsidR="0054236C" w:rsidRPr="00993DAD" w14:paraId="6499331D" w14:textId="77777777" w:rsidTr="00BB502D">
        <w:tc>
          <w:tcPr>
            <w:tcW w:w="0" w:type="auto"/>
            <w:vAlign w:val="center"/>
            <w:hideMark/>
          </w:tcPr>
          <w:p w14:paraId="6D2F715E"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501D08D3"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04E8733A"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56DB2843" w14:textId="77777777" w:rsidTr="00BB502D">
        <w:tc>
          <w:tcPr>
            <w:tcW w:w="0" w:type="auto"/>
            <w:vAlign w:val="center"/>
            <w:hideMark/>
          </w:tcPr>
          <w:p w14:paraId="644ABE78"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2279E0C1"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38B019D1"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236FF10E" w14:textId="77777777" w:rsidTr="00BB502D">
        <w:tc>
          <w:tcPr>
            <w:tcW w:w="0" w:type="auto"/>
            <w:vAlign w:val="center"/>
            <w:hideMark/>
          </w:tcPr>
          <w:p w14:paraId="30A47B2A"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3115D885"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2E202D20"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2E0E57CD" w14:textId="77777777" w:rsidTr="00BB502D">
        <w:tc>
          <w:tcPr>
            <w:tcW w:w="0" w:type="auto"/>
            <w:vAlign w:val="center"/>
            <w:hideMark/>
          </w:tcPr>
          <w:p w14:paraId="187F640E"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6A2E28E0"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07E317A2"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r w:rsidR="0054236C" w:rsidRPr="00993DAD" w14:paraId="0D9E4733" w14:textId="77777777" w:rsidTr="00BB502D">
        <w:tc>
          <w:tcPr>
            <w:tcW w:w="0" w:type="auto"/>
            <w:vAlign w:val="center"/>
            <w:hideMark/>
          </w:tcPr>
          <w:p w14:paraId="774B24EB"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r w:rsidRPr="00993DAD">
              <w:rPr>
                <w:rFonts w:ascii="Times New Roman" w:eastAsia="Times New Roman" w:hAnsi="Times New Roman" w:cs="Times New Roman"/>
                <w:b/>
                <w:bCs/>
                <w:sz w:val="28"/>
                <w:szCs w:val="28"/>
                <w:lang w:eastAsia="it-IT"/>
              </w:rPr>
              <w:t> </w:t>
            </w:r>
          </w:p>
        </w:tc>
        <w:tc>
          <w:tcPr>
            <w:tcW w:w="0" w:type="auto"/>
            <w:vAlign w:val="center"/>
            <w:hideMark/>
          </w:tcPr>
          <w:p w14:paraId="18D43639"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c>
          <w:tcPr>
            <w:tcW w:w="0" w:type="auto"/>
            <w:vAlign w:val="center"/>
            <w:hideMark/>
          </w:tcPr>
          <w:p w14:paraId="2030DD16" w14:textId="77777777" w:rsidR="0054236C" w:rsidRPr="00993DAD" w:rsidRDefault="0054236C" w:rsidP="00BB502D">
            <w:pPr>
              <w:spacing w:after="0" w:line="240" w:lineRule="auto"/>
              <w:ind w:left="0" w:right="0"/>
              <w:jc w:val="center"/>
              <w:rPr>
                <w:rFonts w:ascii="Times New Roman" w:eastAsia="Times New Roman" w:hAnsi="Times New Roman" w:cs="Times New Roman"/>
                <w:b/>
                <w:bCs/>
                <w:sz w:val="28"/>
                <w:szCs w:val="28"/>
                <w:lang w:eastAsia="it-IT"/>
              </w:rPr>
            </w:pPr>
          </w:p>
        </w:tc>
      </w:tr>
    </w:tbl>
    <w:p w14:paraId="0C1E1778" w14:textId="77777777" w:rsidR="0054236C" w:rsidRDefault="0054236C" w:rsidP="0054236C">
      <w:pPr>
        <w:spacing w:after="0" w:line="540" w:lineRule="atLeast"/>
        <w:ind w:left="0" w:right="0"/>
        <w:jc w:val="center"/>
        <w:rPr>
          <w:rFonts w:ascii="Garamond" w:eastAsia="Times New Roman" w:hAnsi="Garamond" w:cs="Times New Roman"/>
          <w:color w:val="000000"/>
          <w:sz w:val="30"/>
          <w:szCs w:val="30"/>
          <w:lang w:eastAsia="it-IT"/>
        </w:rPr>
      </w:pPr>
      <w:r w:rsidRPr="00993DAD">
        <w:rPr>
          <w:rFonts w:ascii="Garamond" w:eastAsia="Times New Roman" w:hAnsi="Garamond" w:cs="Times New Roman"/>
          <w:color w:val="000000"/>
          <w:sz w:val="30"/>
          <w:szCs w:val="30"/>
          <w:lang w:eastAsia="it-IT"/>
        </w:rPr>
        <w:t>IL SEGRETARIO</w:t>
      </w:r>
    </w:p>
    <w:p w14:paraId="797702F3" w14:textId="77777777" w:rsidR="00222AD1" w:rsidRDefault="00222AD1"/>
    <w:sectPr w:rsidR="00222AD1" w:rsidSect="00222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4236C"/>
    <w:rsid w:val="00222AD1"/>
    <w:rsid w:val="004E73D0"/>
    <w:rsid w:val="0054236C"/>
    <w:rsid w:val="007D3927"/>
    <w:rsid w:val="00AA7FA1"/>
    <w:rsid w:val="00AD60DF"/>
    <w:rsid w:val="00CE289F"/>
    <w:rsid w:val="00DA2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2CB3"/>
  <w15:docId w15:val="{1948C2B3-86A1-49B8-B555-CBE0D436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ind w:left="1134"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3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423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2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2760</Words>
  <Characters>15737</Characters>
  <Application>Microsoft Office Word</Application>
  <DocSecurity>0</DocSecurity>
  <Lines>131</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Bonso</dc:creator>
  <cp:lastModifiedBy>Utente</cp:lastModifiedBy>
  <cp:revision>4</cp:revision>
  <dcterms:created xsi:type="dcterms:W3CDTF">2025-11-09T10:46:00Z</dcterms:created>
  <dcterms:modified xsi:type="dcterms:W3CDTF">2025-11-11T17:55:00Z</dcterms:modified>
</cp:coreProperties>
</file>