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D787E" w14:textId="2012608F" w:rsidR="00184D11" w:rsidRPr="00274958" w:rsidRDefault="008F04B2" w:rsidP="008F04B2">
      <w:pPr>
        <w:jc w:val="center"/>
        <w:rPr>
          <w:rFonts w:ascii="Times New Roman" w:hAnsi="Times New Roman" w:cs="Times New Roman"/>
          <w:b/>
          <w:bCs/>
          <w:sz w:val="24"/>
          <w:szCs w:val="24"/>
        </w:rPr>
      </w:pPr>
      <w:r w:rsidRPr="00274958">
        <w:rPr>
          <w:rFonts w:ascii="Times New Roman" w:hAnsi="Times New Roman" w:cs="Times New Roman"/>
          <w:b/>
          <w:bCs/>
          <w:sz w:val="24"/>
          <w:szCs w:val="24"/>
        </w:rPr>
        <w:t>UN LABIRINTO CHIAMATO STATO LEGITTIMO</w:t>
      </w:r>
    </w:p>
    <w:p w14:paraId="685471A5" w14:textId="54C35642" w:rsidR="008F04B2" w:rsidRPr="00274958" w:rsidRDefault="008F04B2" w:rsidP="008F04B2">
      <w:pPr>
        <w:jc w:val="center"/>
        <w:rPr>
          <w:rFonts w:ascii="Times New Roman" w:hAnsi="Times New Roman" w:cs="Times New Roman"/>
          <w:b/>
          <w:bCs/>
          <w:i/>
          <w:iCs/>
          <w:sz w:val="24"/>
          <w:szCs w:val="24"/>
        </w:rPr>
      </w:pPr>
      <w:r w:rsidRPr="00274958">
        <w:rPr>
          <w:rFonts w:ascii="Times New Roman" w:hAnsi="Times New Roman" w:cs="Times New Roman"/>
          <w:b/>
          <w:bCs/>
          <w:i/>
          <w:iCs/>
          <w:sz w:val="24"/>
          <w:szCs w:val="24"/>
        </w:rPr>
        <w:t>La riforma apportata dal cd. decreto Salva Casa (d.l. 69/2024)</w:t>
      </w:r>
    </w:p>
    <w:p w14:paraId="59A846A3" w14:textId="50476329" w:rsidR="008F04B2" w:rsidRPr="00274958" w:rsidRDefault="008F04B2" w:rsidP="008F04B2">
      <w:pPr>
        <w:jc w:val="center"/>
        <w:rPr>
          <w:rFonts w:ascii="Times New Roman" w:hAnsi="Times New Roman" w:cs="Times New Roman"/>
          <w:b/>
          <w:bCs/>
          <w:i/>
          <w:iCs/>
          <w:sz w:val="24"/>
          <w:szCs w:val="24"/>
        </w:rPr>
      </w:pPr>
      <w:r w:rsidRPr="00274958">
        <w:rPr>
          <w:rFonts w:ascii="Times New Roman" w:hAnsi="Times New Roman" w:cs="Times New Roman"/>
          <w:b/>
          <w:bCs/>
          <w:i/>
          <w:iCs/>
          <w:sz w:val="24"/>
          <w:szCs w:val="24"/>
        </w:rPr>
        <w:t>e dalla sua legge di conversione (l. 105/2024)</w:t>
      </w:r>
    </w:p>
    <w:p w14:paraId="3F6D9D34" w14:textId="75116DD3" w:rsidR="008F04B2" w:rsidRPr="00274958" w:rsidRDefault="008F04B2" w:rsidP="008F04B2">
      <w:pPr>
        <w:rPr>
          <w:rFonts w:ascii="Times New Roman" w:hAnsi="Times New Roman" w:cs="Times New Roman"/>
          <w:b/>
          <w:bCs/>
          <w:sz w:val="24"/>
          <w:szCs w:val="24"/>
        </w:rPr>
      </w:pPr>
      <w:r w:rsidRPr="00274958">
        <w:rPr>
          <w:rFonts w:ascii="Times New Roman" w:hAnsi="Times New Roman" w:cs="Times New Roman"/>
          <w:b/>
          <w:bCs/>
          <w:sz w:val="24"/>
          <w:szCs w:val="24"/>
        </w:rPr>
        <w:t xml:space="preserve">LE MODIFICHE </w:t>
      </w:r>
      <w:r w:rsidR="004A2BF6">
        <w:rPr>
          <w:rFonts w:ascii="Times New Roman" w:hAnsi="Times New Roman" w:cs="Times New Roman"/>
          <w:b/>
          <w:bCs/>
          <w:sz w:val="24"/>
          <w:szCs w:val="24"/>
        </w:rPr>
        <w:t>AGLI ARTT</w:t>
      </w:r>
      <w:r w:rsidRPr="00274958">
        <w:rPr>
          <w:rFonts w:ascii="Times New Roman" w:hAnsi="Times New Roman" w:cs="Times New Roman"/>
          <w:b/>
          <w:bCs/>
          <w:sz w:val="24"/>
          <w:szCs w:val="24"/>
        </w:rPr>
        <w:t xml:space="preserve">. </w:t>
      </w:r>
      <w:r w:rsidR="00243B20">
        <w:rPr>
          <w:rFonts w:ascii="Times New Roman" w:hAnsi="Times New Roman" w:cs="Times New Roman"/>
          <w:b/>
          <w:bCs/>
          <w:sz w:val="24"/>
          <w:szCs w:val="24"/>
        </w:rPr>
        <w:t>24</w:t>
      </w:r>
      <w:r w:rsidR="00F45EA4">
        <w:rPr>
          <w:rFonts w:ascii="Times New Roman" w:hAnsi="Times New Roman" w:cs="Times New Roman"/>
          <w:b/>
          <w:bCs/>
          <w:sz w:val="24"/>
          <w:szCs w:val="24"/>
        </w:rPr>
        <w:t>, 31 E 32</w:t>
      </w:r>
      <w:r w:rsidRPr="00274958">
        <w:rPr>
          <w:rFonts w:ascii="Times New Roman" w:hAnsi="Times New Roman" w:cs="Times New Roman"/>
          <w:b/>
          <w:bCs/>
          <w:sz w:val="24"/>
          <w:szCs w:val="24"/>
        </w:rPr>
        <w:t xml:space="preserve"> D.P.R. 380/2001</w:t>
      </w:r>
    </w:p>
    <w:p w14:paraId="3E9FE19A" w14:textId="15CBF79F" w:rsidR="008F04B2" w:rsidRPr="00091726" w:rsidRDefault="008F04B2" w:rsidP="008F04B2">
      <w:pPr>
        <w:rPr>
          <w:rFonts w:ascii="Times New Roman" w:hAnsi="Times New Roman" w:cs="Times New Roman"/>
          <w:b/>
          <w:bCs/>
          <w:sz w:val="24"/>
          <w:szCs w:val="24"/>
        </w:rPr>
      </w:pPr>
      <w:r w:rsidRPr="00274958">
        <w:rPr>
          <w:rFonts w:ascii="Times New Roman" w:hAnsi="Times New Roman" w:cs="Times New Roman"/>
          <w:b/>
          <w:bCs/>
          <w:sz w:val="24"/>
          <w:szCs w:val="24"/>
        </w:rPr>
        <w:t xml:space="preserve">1. </w:t>
      </w:r>
      <w:r w:rsidR="006D4440" w:rsidRPr="00274958">
        <w:rPr>
          <w:rFonts w:ascii="Times New Roman" w:hAnsi="Times New Roman" w:cs="Times New Roman"/>
          <w:b/>
          <w:bCs/>
          <w:i/>
          <w:iCs/>
          <w:sz w:val="24"/>
          <w:szCs w:val="24"/>
        </w:rPr>
        <w:t>Le novelle a</w:t>
      </w:r>
      <w:r w:rsidRPr="00274958">
        <w:rPr>
          <w:rFonts w:ascii="Times New Roman" w:hAnsi="Times New Roman" w:cs="Times New Roman"/>
          <w:b/>
          <w:bCs/>
          <w:i/>
          <w:iCs/>
          <w:sz w:val="24"/>
          <w:szCs w:val="24"/>
        </w:rPr>
        <w:t>ll</w:t>
      </w:r>
      <w:r w:rsidR="00274958" w:rsidRPr="00274958">
        <w:rPr>
          <w:rFonts w:ascii="Times New Roman" w:hAnsi="Times New Roman" w:cs="Times New Roman"/>
          <w:b/>
          <w:bCs/>
          <w:i/>
          <w:iCs/>
          <w:sz w:val="24"/>
          <w:szCs w:val="24"/>
        </w:rPr>
        <w:t>’</w:t>
      </w:r>
      <w:r w:rsidRPr="00274958">
        <w:rPr>
          <w:rFonts w:ascii="Times New Roman" w:hAnsi="Times New Roman" w:cs="Times New Roman"/>
          <w:b/>
          <w:bCs/>
          <w:i/>
          <w:iCs/>
          <w:sz w:val="24"/>
          <w:szCs w:val="24"/>
        </w:rPr>
        <w:t xml:space="preserve">art. </w:t>
      </w:r>
      <w:r w:rsidR="00243B20">
        <w:rPr>
          <w:rFonts w:ascii="Times New Roman" w:hAnsi="Times New Roman" w:cs="Times New Roman"/>
          <w:b/>
          <w:bCs/>
          <w:i/>
          <w:iCs/>
          <w:sz w:val="24"/>
          <w:szCs w:val="24"/>
        </w:rPr>
        <w:t>24</w:t>
      </w:r>
      <w:r w:rsidRPr="00274958">
        <w:rPr>
          <w:rFonts w:ascii="Times New Roman" w:hAnsi="Times New Roman" w:cs="Times New Roman"/>
          <w:b/>
          <w:bCs/>
          <w:i/>
          <w:iCs/>
          <w:sz w:val="24"/>
          <w:szCs w:val="24"/>
        </w:rPr>
        <w:t xml:space="preserve"> T.U. edilizia</w:t>
      </w:r>
      <w:r w:rsidR="00091726">
        <w:rPr>
          <w:rFonts w:ascii="Times New Roman" w:hAnsi="Times New Roman" w:cs="Times New Roman"/>
          <w:b/>
          <w:bCs/>
          <w:i/>
          <w:iCs/>
          <w:sz w:val="24"/>
          <w:szCs w:val="24"/>
        </w:rPr>
        <w:t xml:space="preserve">: </w:t>
      </w:r>
      <w:r w:rsidR="00243B20">
        <w:rPr>
          <w:rFonts w:ascii="Times New Roman" w:hAnsi="Times New Roman" w:cs="Times New Roman"/>
          <w:b/>
          <w:bCs/>
          <w:color w:val="FF0000"/>
          <w:sz w:val="24"/>
          <w:szCs w:val="24"/>
        </w:rPr>
        <w:t>AGIBILITÀ</w:t>
      </w:r>
    </w:p>
    <w:p w14:paraId="68E8EBCE" w14:textId="119BCA78" w:rsidR="00091726" w:rsidRDefault="00091726" w:rsidP="00091726">
      <w:pPr>
        <w:rPr>
          <w:rFonts w:ascii="Times New Roman" w:hAnsi="Times New Roman" w:cs="Times New Roman"/>
          <w:sz w:val="24"/>
          <w:szCs w:val="24"/>
        </w:rPr>
      </w:pPr>
      <w:r>
        <w:rPr>
          <w:rFonts w:ascii="Times New Roman" w:hAnsi="Times New Roman" w:cs="Times New Roman"/>
          <w:sz w:val="24"/>
          <w:szCs w:val="24"/>
        </w:rPr>
        <w:t>La l. 105/2024</w:t>
      </w:r>
      <w:r w:rsidR="00154C09">
        <w:rPr>
          <w:rFonts w:ascii="Times New Roman" w:hAnsi="Times New Roman" w:cs="Times New Roman"/>
          <w:sz w:val="24"/>
          <w:szCs w:val="24"/>
        </w:rPr>
        <w:t xml:space="preserve"> </w:t>
      </w:r>
      <w:r>
        <w:rPr>
          <w:rFonts w:ascii="Times New Roman" w:hAnsi="Times New Roman" w:cs="Times New Roman"/>
          <w:sz w:val="24"/>
          <w:szCs w:val="24"/>
        </w:rPr>
        <w:t xml:space="preserve">ha </w:t>
      </w:r>
      <w:r w:rsidR="00243B20">
        <w:rPr>
          <w:rFonts w:ascii="Times New Roman" w:hAnsi="Times New Roman" w:cs="Times New Roman"/>
          <w:sz w:val="24"/>
          <w:szCs w:val="24"/>
        </w:rPr>
        <w:t xml:space="preserve">inserito </w:t>
      </w:r>
      <w:r w:rsidR="00154C09">
        <w:rPr>
          <w:rFonts w:ascii="Times New Roman" w:hAnsi="Times New Roman" w:cs="Times New Roman"/>
          <w:sz w:val="24"/>
          <w:szCs w:val="24"/>
        </w:rPr>
        <w:t xml:space="preserve">all’art. 24 T.U. edilizia </w:t>
      </w:r>
      <w:r w:rsidR="00243B20">
        <w:rPr>
          <w:rFonts w:ascii="Times New Roman" w:hAnsi="Times New Roman" w:cs="Times New Roman"/>
          <w:sz w:val="24"/>
          <w:szCs w:val="24"/>
        </w:rPr>
        <w:t>i nuovi commi 5-</w:t>
      </w:r>
      <w:r w:rsidR="00243B20" w:rsidRPr="00243B20">
        <w:rPr>
          <w:rFonts w:ascii="Times New Roman" w:hAnsi="Times New Roman" w:cs="Times New Roman"/>
          <w:i/>
          <w:iCs/>
          <w:sz w:val="24"/>
          <w:szCs w:val="24"/>
        </w:rPr>
        <w:t>bis</w:t>
      </w:r>
      <w:r w:rsidR="00243B20">
        <w:rPr>
          <w:rFonts w:ascii="Times New Roman" w:hAnsi="Times New Roman" w:cs="Times New Roman"/>
          <w:sz w:val="24"/>
          <w:szCs w:val="24"/>
        </w:rPr>
        <w:t>, 5-</w:t>
      </w:r>
      <w:r w:rsidR="00243B20" w:rsidRPr="00243B20">
        <w:rPr>
          <w:rFonts w:ascii="Times New Roman" w:hAnsi="Times New Roman" w:cs="Times New Roman"/>
          <w:i/>
          <w:iCs/>
          <w:sz w:val="24"/>
          <w:szCs w:val="24"/>
        </w:rPr>
        <w:t>ter</w:t>
      </w:r>
      <w:r w:rsidR="00243B20">
        <w:rPr>
          <w:rFonts w:ascii="Times New Roman" w:hAnsi="Times New Roman" w:cs="Times New Roman"/>
          <w:sz w:val="24"/>
          <w:szCs w:val="24"/>
        </w:rPr>
        <w:t xml:space="preserve"> e 5-</w:t>
      </w:r>
      <w:r w:rsidR="00243B20" w:rsidRPr="00243B20">
        <w:rPr>
          <w:rFonts w:ascii="Times New Roman" w:hAnsi="Times New Roman" w:cs="Times New Roman"/>
          <w:i/>
          <w:iCs/>
          <w:sz w:val="24"/>
          <w:szCs w:val="24"/>
        </w:rPr>
        <w:t>quater</w:t>
      </w:r>
      <w:r>
        <w:rPr>
          <w:rFonts w:ascii="Times New Roman" w:hAnsi="Times New Roman" w:cs="Times New Roman"/>
          <w:sz w:val="24"/>
          <w:szCs w:val="24"/>
        </w:rPr>
        <w:t>.</w:t>
      </w:r>
    </w:p>
    <w:p w14:paraId="48FDDF15" w14:textId="18D2086D" w:rsidR="00243B20" w:rsidRDefault="00243B20" w:rsidP="00091726">
      <w:pPr>
        <w:rPr>
          <w:rFonts w:ascii="Times New Roman" w:hAnsi="Times New Roman" w:cs="Times New Roman"/>
          <w:sz w:val="24"/>
          <w:szCs w:val="24"/>
        </w:rPr>
      </w:pPr>
      <w:r>
        <w:rPr>
          <w:rFonts w:ascii="Times New Roman" w:hAnsi="Times New Roman" w:cs="Times New Roman"/>
          <w:sz w:val="24"/>
          <w:szCs w:val="24"/>
        </w:rPr>
        <w:t>Tali inserti normativi partono da una premessa: non risulta ancora attuato l’art. 20, co. 1-</w:t>
      </w:r>
      <w:r w:rsidRPr="00243B20">
        <w:rPr>
          <w:rFonts w:ascii="Times New Roman" w:hAnsi="Times New Roman" w:cs="Times New Roman"/>
          <w:i/>
          <w:iCs/>
          <w:sz w:val="24"/>
          <w:szCs w:val="24"/>
        </w:rPr>
        <w:t>bis</w:t>
      </w:r>
      <w:r>
        <w:rPr>
          <w:rFonts w:ascii="Times New Roman" w:hAnsi="Times New Roman" w:cs="Times New Roman"/>
          <w:sz w:val="24"/>
          <w:szCs w:val="24"/>
        </w:rPr>
        <w:t xml:space="preserve"> T.U. edilizia, secondo cui c</w:t>
      </w:r>
      <w:r w:rsidRPr="00243B20">
        <w:rPr>
          <w:rFonts w:ascii="Times New Roman" w:hAnsi="Times New Roman" w:cs="Times New Roman"/>
          <w:sz w:val="24"/>
          <w:szCs w:val="24"/>
        </w:rPr>
        <w:t xml:space="preserve">on </w:t>
      </w:r>
      <w:r w:rsidR="00154C09">
        <w:rPr>
          <w:rFonts w:ascii="Times New Roman" w:hAnsi="Times New Roman" w:cs="Times New Roman"/>
          <w:sz w:val="24"/>
          <w:szCs w:val="24"/>
        </w:rPr>
        <w:t xml:space="preserve">un </w:t>
      </w:r>
      <w:r w:rsidRPr="00243B20">
        <w:rPr>
          <w:rFonts w:ascii="Times New Roman" w:hAnsi="Times New Roman" w:cs="Times New Roman"/>
          <w:sz w:val="24"/>
          <w:szCs w:val="24"/>
        </w:rPr>
        <w:t xml:space="preserve">decreto del Ministro della salute, da adottarsi previa intesa in Conferenza unificata, sono definiti i </w:t>
      </w:r>
      <w:r w:rsidRPr="00243B20">
        <w:rPr>
          <w:rFonts w:ascii="Times New Roman" w:hAnsi="Times New Roman" w:cs="Times New Roman"/>
          <w:sz w:val="24"/>
          <w:szCs w:val="24"/>
          <w:u w:val="single"/>
        </w:rPr>
        <w:t>requisiti igienico-sanitari di carattere prestazionale degli edifici</w:t>
      </w:r>
      <w:r w:rsidRPr="00243B20">
        <w:rPr>
          <w:rFonts w:ascii="Times New Roman" w:hAnsi="Times New Roman" w:cs="Times New Roman"/>
          <w:sz w:val="24"/>
          <w:szCs w:val="24"/>
        </w:rPr>
        <w:t>.</w:t>
      </w:r>
    </w:p>
    <w:p w14:paraId="541B0CD0" w14:textId="6F7ED68F" w:rsidR="00243B20" w:rsidRDefault="00243B20" w:rsidP="00091726">
      <w:pPr>
        <w:rPr>
          <w:rFonts w:ascii="Times New Roman" w:hAnsi="Times New Roman" w:cs="Times New Roman"/>
          <w:sz w:val="24"/>
          <w:szCs w:val="24"/>
        </w:rPr>
      </w:pPr>
      <w:r>
        <w:rPr>
          <w:rFonts w:ascii="Times New Roman" w:hAnsi="Times New Roman" w:cs="Times New Roman"/>
          <w:sz w:val="24"/>
          <w:szCs w:val="24"/>
        </w:rPr>
        <w:t xml:space="preserve">Nel 2023 è circolata una bozza di tale decreto il cui esame, verosimilmente, è ancora </w:t>
      </w:r>
      <w:r>
        <w:rPr>
          <w:rFonts w:ascii="Times New Roman" w:hAnsi="Times New Roman" w:cs="Times New Roman"/>
          <w:i/>
          <w:iCs/>
          <w:sz w:val="24"/>
          <w:szCs w:val="24"/>
        </w:rPr>
        <w:t>in itinere</w:t>
      </w:r>
      <w:r>
        <w:rPr>
          <w:rFonts w:ascii="Times New Roman" w:hAnsi="Times New Roman" w:cs="Times New Roman"/>
          <w:sz w:val="24"/>
          <w:szCs w:val="24"/>
        </w:rPr>
        <w:t>.</w:t>
      </w:r>
    </w:p>
    <w:p w14:paraId="1B4E20B8" w14:textId="51C92A09" w:rsidR="00243B20" w:rsidRDefault="00243B20" w:rsidP="00091726">
      <w:pPr>
        <w:rPr>
          <w:rFonts w:ascii="Times New Roman" w:hAnsi="Times New Roman" w:cs="Times New Roman"/>
          <w:sz w:val="24"/>
          <w:szCs w:val="24"/>
        </w:rPr>
      </w:pPr>
      <w:r>
        <w:rPr>
          <w:rFonts w:ascii="Times New Roman" w:hAnsi="Times New Roman" w:cs="Times New Roman"/>
          <w:sz w:val="24"/>
          <w:szCs w:val="24"/>
        </w:rPr>
        <w:t xml:space="preserve">Il </w:t>
      </w:r>
      <w:r w:rsidRPr="00243B20">
        <w:rPr>
          <w:rFonts w:ascii="Times New Roman" w:hAnsi="Times New Roman" w:cs="Times New Roman"/>
          <w:b/>
          <w:bCs/>
          <w:sz w:val="24"/>
          <w:szCs w:val="24"/>
        </w:rPr>
        <w:t>comma 5-</w:t>
      </w:r>
      <w:r w:rsidRPr="00243B20">
        <w:rPr>
          <w:rFonts w:ascii="Times New Roman" w:hAnsi="Times New Roman" w:cs="Times New Roman"/>
          <w:b/>
          <w:bCs/>
          <w:i/>
          <w:iCs/>
          <w:sz w:val="24"/>
          <w:szCs w:val="24"/>
        </w:rPr>
        <w:t>bis</w:t>
      </w:r>
      <w:r>
        <w:rPr>
          <w:rFonts w:ascii="Times New Roman" w:hAnsi="Times New Roman" w:cs="Times New Roman"/>
          <w:sz w:val="24"/>
          <w:szCs w:val="24"/>
        </w:rPr>
        <w:t xml:space="preserve"> cit. pone una previsione che si applica </w:t>
      </w:r>
      <w:r w:rsidR="00154C09">
        <w:rPr>
          <w:rFonts w:ascii="Times New Roman" w:hAnsi="Times New Roman" w:cs="Times New Roman"/>
          <w:sz w:val="24"/>
          <w:szCs w:val="24"/>
        </w:rPr>
        <w:t>“</w:t>
      </w:r>
      <w:r w:rsidR="00154C09" w:rsidRPr="00154C09">
        <w:rPr>
          <w:rFonts w:ascii="Times New Roman" w:hAnsi="Times New Roman" w:cs="Times New Roman"/>
          <w:i/>
          <w:iCs/>
          <w:sz w:val="24"/>
          <w:szCs w:val="24"/>
        </w:rPr>
        <w:t>nelle more della definizione</w:t>
      </w:r>
      <w:r w:rsidR="00154C09">
        <w:rPr>
          <w:rFonts w:ascii="Times New Roman" w:hAnsi="Times New Roman" w:cs="Times New Roman"/>
          <w:sz w:val="24"/>
          <w:szCs w:val="24"/>
        </w:rPr>
        <w:t>”</w:t>
      </w:r>
      <w:r w:rsidRPr="00243B20">
        <w:rPr>
          <w:rFonts w:ascii="Times New Roman" w:hAnsi="Times New Roman" w:cs="Times New Roman"/>
          <w:sz w:val="24"/>
          <w:szCs w:val="24"/>
        </w:rPr>
        <w:t xml:space="preserve"> </w:t>
      </w:r>
      <w:r>
        <w:rPr>
          <w:rFonts w:ascii="Times New Roman" w:hAnsi="Times New Roman" w:cs="Times New Roman"/>
          <w:sz w:val="24"/>
          <w:szCs w:val="24"/>
        </w:rPr>
        <w:t>di tali</w:t>
      </w:r>
      <w:r w:rsidRPr="00243B20">
        <w:rPr>
          <w:rFonts w:ascii="Times New Roman" w:hAnsi="Times New Roman" w:cs="Times New Roman"/>
          <w:sz w:val="24"/>
          <w:szCs w:val="24"/>
        </w:rPr>
        <w:t xml:space="preserve"> requisiti</w:t>
      </w:r>
      <w:r>
        <w:rPr>
          <w:rFonts w:ascii="Times New Roman" w:hAnsi="Times New Roman" w:cs="Times New Roman"/>
          <w:sz w:val="24"/>
          <w:szCs w:val="24"/>
        </w:rPr>
        <w:t>: ciò significa che si tratta di una norma transitoria, destinata a divenire inefficace una volta emanato il decreto del Ministro della salute in parola?</w:t>
      </w:r>
    </w:p>
    <w:p w14:paraId="6BFD96F9" w14:textId="77777777" w:rsidR="00243B20" w:rsidRPr="00243B20" w:rsidRDefault="00243B20" w:rsidP="00243B20">
      <w:pPr>
        <w:rPr>
          <w:rFonts w:ascii="Times New Roman" w:hAnsi="Times New Roman" w:cs="Times New Roman"/>
          <w:sz w:val="24"/>
          <w:szCs w:val="24"/>
        </w:rPr>
      </w:pPr>
      <w:r>
        <w:rPr>
          <w:rFonts w:ascii="Times New Roman" w:hAnsi="Times New Roman" w:cs="Times New Roman"/>
          <w:sz w:val="24"/>
          <w:szCs w:val="24"/>
        </w:rPr>
        <w:t xml:space="preserve">Ebbene, nell’attesa del Ministro, </w:t>
      </w:r>
      <w:r w:rsidRPr="00243B20">
        <w:rPr>
          <w:rFonts w:ascii="Times New Roman" w:hAnsi="Times New Roman" w:cs="Times New Roman"/>
          <w:sz w:val="24"/>
          <w:szCs w:val="24"/>
        </w:rPr>
        <w:t>ai fini della certificazione delle condizioni di</w:t>
      </w:r>
      <w:r>
        <w:rPr>
          <w:rFonts w:ascii="Times New Roman" w:hAnsi="Times New Roman" w:cs="Times New Roman"/>
          <w:sz w:val="24"/>
          <w:szCs w:val="24"/>
        </w:rPr>
        <w:t xml:space="preserve"> agibilità di un edificio (cfr. art. 24, co. 1</w:t>
      </w:r>
      <w:r w:rsidRPr="00243B20">
        <w:rPr>
          <w:rFonts w:ascii="Times New Roman" w:hAnsi="Times New Roman" w:cs="Times New Roman"/>
          <w:sz w:val="24"/>
          <w:szCs w:val="24"/>
        </w:rPr>
        <w:t xml:space="preserve"> </w:t>
      </w:r>
      <w:r>
        <w:rPr>
          <w:rFonts w:ascii="Times New Roman" w:hAnsi="Times New Roman" w:cs="Times New Roman"/>
          <w:sz w:val="24"/>
          <w:szCs w:val="24"/>
        </w:rPr>
        <w:t xml:space="preserve">T.U. edilizia) </w:t>
      </w:r>
      <w:r w:rsidRPr="00243B20">
        <w:rPr>
          <w:rFonts w:ascii="Times New Roman" w:hAnsi="Times New Roman" w:cs="Times New Roman"/>
          <w:sz w:val="24"/>
          <w:szCs w:val="24"/>
        </w:rPr>
        <w:t xml:space="preserve">e dell’acquisizione dell’assenso da parte </w:t>
      </w:r>
      <w:r>
        <w:rPr>
          <w:rFonts w:ascii="Times New Roman" w:hAnsi="Times New Roman" w:cs="Times New Roman"/>
          <w:sz w:val="24"/>
          <w:szCs w:val="24"/>
        </w:rPr>
        <w:t>della P.A.</w:t>
      </w:r>
      <w:r w:rsidRPr="00243B20">
        <w:rPr>
          <w:rFonts w:ascii="Times New Roman" w:hAnsi="Times New Roman" w:cs="Times New Roman"/>
          <w:sz w:val="24"/>
          <w:szCs w:val="24"/>
        </w:rPr>
        <w:t xml:space="preserve"> competente, fermo restando il rispetto degli altri requisiti igienico-sanitari previsti dalla normativa vigente, il progettista abilitato è autorizzato ad asseverare la conformità del progetto alle norme igienico-sanitarie</w:t>
      </w:r>
      <w:r>
        <w:rPr>
          <w:rFonts w:ascii="Times New Roman" w:hAnsi="Times New Roman" w:cs="Times New Roman"/>
          <w:sz w:val="24"/>
          <w:szCs w:val="24"/>
        </w:rPr>
        <w:t xml:space="preserve">, </w:t>
      </w:r>
      <w:r w:rsidRPr="00243B20">
        <w:rPr>
          <w:rFonts w:ascii="Times New Roman" w:hAnsi="Times New Roman" w:cs="Times New Roman"/>
          <w:sz w:val="24"/>
          <w:szCs w:val="24"/>
        </w:rPr>
        <w:t>nelle seguenti ipotesi:</w:t>
      </w:r>
    </w:p>
    <w:p w14:paraId="7A95B28F" w14:textId="3B570588" w:rsidR="00243B20" w:rsidRPr="00243B20" w:rsidRDefault="00243B20" w:rsidP="00243B20">
      <w:pPr>
        <w:pStyle w:val="Paragrafoelenco"/>
        <w:numPr>
          <w:ilvl w:val="0"/>
          <w:numId w:val="4"/>
        </w:numPr>
        <w:ind w:left="0" w:firstLine="284"/>
        <w:rPr>
          <w:rFonts w:ascii="Times New Roman" w:hAnsi="Times New Roman" w:cs="Times New Roman"/>
          <w:sz w:val="24"/>
          <w:szCs w:val="24"/>
        </w:rPr>
      </w:pPr>
      <w:r w:rsidRPr="00243B20">
        <w:rPr>
          <w:rFonts w:ascii="Times New Roman" w:hAnsi="Times New Roman" w:cs="Times New Roman"/>
          <w:sz w:val="24"/>
          <w:szCs w:val="24"/>
        </w:rPr>
        <w:t>locali con un</w:t>
      </w:r>
      <w:r>
        <w:rPr>
          <w:rFonts w:ascii="Times New Roman" w:hAnsi="Times New Roman" w:cs="Times New Roman"/>
          <w:sz w:val="24"/>
          <w:szCs w:val="24"/>
        </w:rPr>
        <w:t>’</w:t>
      </w:r>
      <w:r w:rsidRPr="00243B20">
        <w:rPr>
          <w:rFonts w:ascii="Times New Roman" w:hAnsi="Times New Roman" w:cs="Times New Roman"/>
          <w:sz w:val="24"/>
          <w:szCs w:val="24"/>
        </w:rPr>
        <w:t xml:space="preserve">altezza minima interna inferiore a 2,70 </w:t>
      </w:r>
      <w:r>
        <w:rPr>
          <w:rFonts w:ascii="Times New Roman" w:hAnsi="Times New Roman" w:cs="Times New Roman"/>
          <w:sz w:val="24"/>
          <w:szCs w:val="24"/>
        </w:rPr>
        <w:t>m</w:t>
      </w:r>
      <w:r w:rsidRPr="00243B20">
        <w:rPr>
          <w:rFonts w:ascii="Times New Roman" w:hAnsi="Times New Roman" w:cs="Times New Roman"/>
          <w:sz w:val="24"/>
          <w:szCs w:val="24"/>
        </w:rPr>
        <w:t xml:space="preserve"> fino al limite massimo di 2,40 </w:t>
      </w:r>
      <w:r>
        <w:rPr>
          <w:rFonts w:ascii="Times New Roman" w:hAnsi="Times New Roman" w:cs="Times New Roman"/>
          <w:sz w:val="24"/>
          <w:szCs w:val="24"/>
        </w:rPr>
        <w:t>m</w:t>
      </w:r>
      <w:r w:rsidRPr="00243B20">
        <w:rPr>
          <w:rFonts w:ascii="Times New Roman" w:hAnsi="Times New Roman" w:cs="Times New Roman"/>
          <w:sz w:val="24"/>
          <w:szCs w:val="24"/>
        </w:rPr>
        <w:t>;</w:t>
      </w:r>
    </w:p>
    <w:p w14:paraId="6BD2E208" w14:textId="383EC3DD" w:rsidR="00243B20" w:rsidRDefault="00243B20" w:rsidP="00243B20">
      <w:pPr>
        <w:pStyle w:val="Paragrafoelenco"/>
        <w:numPr>
          <w:ilvl w:val="0"/>
          <w:numId w:val="4"/>
        </w:numPr>
        <w:ind w:left="0" w:firstLine="284"/>
        <w:rPr>
          <w:rFonts w:ascii="Times New Roman" w:hAnsi="Times New Roman" w:cs="Times New Roman"/>
          <w:sz w:val="24"/>
          <w:szCs w:val="24"/>
        </w:rPr>
      </w:pPr>
      <w:r w:rsidRPr="00243B20">
        <w:rPr>
          <w:rFonts w:ascii="Times New Roman" w:hAnsi="Times New Roman" w:cs="Times New Roman"/>
          <w:sz w:val="24"/>
          <w:szCs w:val="24"/>
        </w:rPr>
        <w:t xml:space="preserve">alloggio monostanza, con una superficie minima, comprensiva dei servizi, inferiore a 28 </w:t>
      </w:r>
      <w:r>
        <w:rPr>
          <w:rFonts w:ascii="Times New Roman" w:hAnsi="Times New Roman" w:cs="Times New Roman"/>
          <w:sz w:val="24"/>
          <w:szCs w:val="24"/>
        </w:rPr>
        <w:t>mq</w:t>
      </w:r>
      <w:r w:rsidRPr="00243B20">
        <w:rPr>
          <w:rFonts w:ascii="Times New Roman" w:hAnsi="Times New Roman" w:cs="Times New Roman"/>
          <w:sz w:val="24"/>
          <w:szCs w:val="24"/>
        </w:rPr>
        <w:t xml:space="preserve">, fino al limite massimo di 20 </w:t>
      </w:r>
      <w:r>
        <w:rPr>
          <w:rFonts w:ascii="Times New Roman" w:hAnsi="Times New Roman" w:cs="Times New Roman"/>
          <w:sz w:val="24"/>
          <w:szCs w:val="24"/>
        </w:rPr>
        <w:t>mq</w:t>
      </w:r>
      <w:r w:rsidRPr="00243B20">
        <w:rPr>
          <w:rFonts w:ascii="Times New Roman" w:hAnsi="Times New Roman" w:cs="Times New Roman"/>
          <w:sz w:val="24"/>
          <w:szCs w:val="24"/>
        </w:rPr>
        <w:t xml:space="preserve">, per una persona, e inferiore a 38 </w:t>
      </w:r>
      <w:r>
        <w:rPr>
          <w:rFonts w:ascii="Times New Roman" w:hAnsi="Times New Roman" w:cs="Times New Roman"/>
          <w:sz w:val="24"/>
          <w:szCs w:val="24"/>
        </w:rPr>
        <w:t>mq</w:t>
      </w:r>
      <w:r w:rsidRPr="00243B20">
        <w:rPr>
          <w:rFonts w:ascii="Times New Roman" w:hAnsi="Times New Roman" w:cs="Times New Roman"/>
          <w:sz w:val="24"/>
          <w:szCs w:val="24"/>
        </w:rPr>
        <w:t xml:space="preserve">, fino al limite massimo di 28 </w:t>
      </w:r>
      <w:r>
        <w:rPr>
          <w:rFonts w:ascii="Times New Roman" w:hAnsi="Times New Roman" w:cs="Times New Roman"/>
          <w:sz w:val="24"/>
          <w:szCs w:val="24"/>
        </w:rPr>
        <w:t>mq</w:t>
      </w:r>
      <w:r w:rsidRPr="00243B20">
        <w:rPr>
          <w:rFonts w:ascii="Times New Roman" w:hAnsi="Times New Roman" w:cs="Times New Roman"/>
          <w:sz w:val="24"/>
          <w:szCs w:val="24"/>
        </w:rPr>
        <w:t>, per due persone.</w:t>
      </w:r>
    </w:p>
    <w:p w14:paraId="2E9447AF" w14:textId="22E2148A" w:rsidR="00243B20" w:rsidRPr="00243B20" w:rsidRDefault="00243B20" w:rsidP="00243B20">
      <w:pPr>
        <w:rPr>
          <w:rFonts w:ascii="Times New Roman" w:hAnsi="Times New Roman" w:cs="Times New Roman"/>
          <w:sz w:val="24"/>
          <w:szCs w:val="24"/>
        </w:rPr>
      </w:pPr>
      <w:r>
        <w:rPr>
          <w:rFonts w:ascii="Times New Roman" w:hAnsi="Times New Roman" w:cs="Times New Roman"/>
          <w:sz w:val="24"/>
          <w:szCs w:val="24"/>
        </w:rPr>
        <w:t xml:space="preserve">Non è finita qui, però, dal momento che il successivo </w:t>
      </w:r>
      <w:r w:rsidRPr="00243B20">
        <w:rPr>
          <w:rFonts w:ascii="Times New Roman" w:hAnsi="Times New Roman" w:cs="Times New Roman"/>
          <w:b/>
          <w:bCs/>
          <w:sz w:val="24"/>
          <w:szCs w:val="24"/>
        </w:rPr>
        <w:t>art. 24, co. 5-</w:t>
      </w:r>
      <w:r w:rsidRPr="00243B20">
        <w:rPr>
          <w:rFonts w:ascii="Times New Roman" w:hAnsi="Times New Roman" w:cs="Times New Roman"/>
          <w:b/>
          <w:bCs/>
          <w:i/>
          <w:iCs/>
          <w:sz w:val="24"/>
          <w:szCs w:val="24"/>
        </w:rPr>
        <w:t>ter</w:t>
      </w:r>
      <w:r>
        <w:rPr>
          <w:rFonts w:ascii="Times New Roman" w:hAnsi="Times New Roman" w:cs="Times New Roman"/>
          <w:sz w:val="24"/>
          <w:szCs w:val="24"/>
        </w:rPr>
        <w:t xml:space="preserve"> T.U. edilizia pone ulteriori requisiti.</w:t>
      </w:r>
    </w:p>
    <w:p w14:paraId="2BCE7901" w14:textId="533B7198" w:rsidR="00243B20" w:rsidRPr="00243B20" w:rsidRDefault="00243B20" w:rsidP="00243B20">
      <w:pPr>
        <w:rPr>
          <w:rFonts w:ascii="Times New Roman" w:hAnsi="Times New Roman" w:cs="Times New Roman"/>
          <w:sz w:val="24"/>
          <w:szCs w:val="24"/>
        </w:rPr>
      </w:pPr>
      <w:r w:rsidRPr="00243B20">
        <w:rPr>
          <w:rFonts w:ascii="Times New Roman" w:hAnsi="Times New Roman" w:cs="Times New Roman"/>
          <w:sz w:val="24"/>
          <w:szCs w:val="24"/>
        </w:rPr>
        <w:t>L</w:t>
      </w:r>
      <w:r>
        <w:rPr>
          <w:rFonts w:ascii="Times New Roman" w:hAnsi="Times New Roman" w:cs="Times New Roman"/>
          <w:sz w:val="24"/>
          <w:szCs w:val="24"/>
        </w:rPr>
        <w:t>’</w:t>
      </w:r>
      <w:r w:rsidRPr="00243B20">
        <w:rPr>
          <w:rFonts w:ascii="Times New Roman" w:hAnsi="Times New Roman" w:cs="Times New Roman"/>
          <w:sz w:val="24"/>
          <w:szCs w:val="24"/>
        </w:rPr>
        <w:t xml:space="preserve">asseverazione di cui al </w:t>
      </w:r>
      <w:r>
        <w:rPr>
          <w:rFonts w:ascii="Times New Roman" w:hAnsi="Times New Roman" w:cs="Times New Roman"/>
          <w:sz w:val="24"/>
          <w:szCs w:val="24"/>
        </w:rPr>
        <w:t xml:space="preserve">precedente </w:t>
      </w:r>
      <w:r w:rsidRPr="00243B20">
        <w:rPr>
          <w:rFonts w:ascii="Times New Roman" w:hAnsi="Times New Roman" w:cs="Times New Roman"/>
          <w:sz w:val="24"/>
          <w:szCs w:val="24"/>
        </w:rPr>
        <w:t>comma 5-</w:t>
      </w:r>
      <w:r w:rsidRPr="00243B20">
        <w:rPr>
          <w:rFonts w:ascii="Times New Roman" w:hAnsi="Times New Roman" w:cs="Times New Roman"/>
          <w:i/>
          <w:iCs/>
          <w:sz w:val="24"/>
          <w:szCs w:val="24"/>
        </w:rPr>
        <w:t>bis</w:t>
      </w:r>
      <w:r w:rsidRPr="00243B20">
        <w:rPr>
          <w:rFonts w:ascii="Times New Roman" w:hAnsi="Times New Roman" w:cs="Times New Roman"/>
          <w:sz w:val="24"/>
          <w:szCs w:val="24"/>
        </w:rPr>
        <w:t xml:space="preserve"> può essere resa ove sia soddisfatto il requisito dell</w:t>
      </w:r>
      <w:r>
        <w:rPr>
          <w:rFonts w:ascii="Times New Roman" w:hAnsi="Times New Roman" w:cs="Times New Roman"/>
          <w:sz w:val="24"/>
          <w:szCs w:val="24"/>
        </w:rPr>
        <w:t>’</w:t>
      </w:r>
      <w:r w:rsidRPr="00243B20">
        <w:rPr>
          <w:rFonts w:ascii="Times New Roman" w:hAnsi="Times New Roman" w:cs="Times New Roman"/>
          <w:sz w:val="24"/>
          <w:szCs w:val="24"/>
        </w:rPr>
        <w:t>adattabilità, in relazione alle specifiche funzionali e dimensionali, previsto dal regolamento di cui al decreto del Ministro dei lavori pubblici 14 giugno 1989, n. 236</w:t>
      </w:r>
      <w:r w:rsidR="00664164">
        <w:rPr>
          <w:rFonts w:ascii="Times New Roman" w:hAnsi="Times New Roman" w:cs="Times New Roman"/>
          <w:sz w:val="24"/>
          <w:szCs w:val="24"/>
        </w:rPr>
        <w:t xml:space="preserve"> (in materia di </w:t>
      </w:r>
      <w:r w:rsidR="00664164" w:rsidRPr="00664164">
        <w:rPr>
          <w:rFonts w:ascii="Times New Roman" w:hAnsi="Times New Roman" w:cs="Times New Roman"/>
          <w:sz w:val="24"/>
          <w:szCs w:val="24"/>
          <w:u w:val="single"/>
        </w:rPr>
        <w:t>barriere architettoniche</w:t>
      </w:r>
      <w:r w:rsidR="00664164">
        <w:rPr>
          <w:rFonts w:ascii="Times New Roman" w:hAnsi="Times New Roman" w:cs="Times New Roman"/>
          <w:sz w:val="24"/>
          <w:szCs w:val="24"/>
        </w:rPr>
        <w:t>)</w:t>
      </w:r>
      <w:r w:rsidRPr="00243B20">
        <w:rPr>
          <w:rFonts w:ascii="Times New Roman" w:hAnsi="Times New Roman" w:cs="Times New Roman"/>
          <w:sz w:val="24"/>
          <w:szCs w:val="24"/>
        </w:rPr>
        <w:t xml:space="preserve">, e sia soddisfatta </w:t>
      </w:r>
      <w:r w:rsidRPr="00664164">
        <w:rPr>
          <w:rFonts w:ascii="Times New Roman" w:hAnsi="Times New Roman" w:cs="Times New Roman"/>
          <w:sz w:val="24"/>
          <w:szCs w:val="24"/>
          <w:u w:val="single"/>
        </w:rPr>
        <w:t>almeno una</w:t>
      </w:r>
      <w:r w:rsidRPr="00243B20">
        <w:rPr>
          <w:rFonts w:ascii="Times New Roman" w:hAnsi="Times New Roman" w:cs="Times New Roman"/>
          <w:sz w:val="24"/>
          <w:szCs w:val="24"/>
        </w:rPr>
        <w:t xml:space="preserve"> delle seguenti condizioni:</w:t>
      </w:r>
    </w:p>
    <w:p w14:paraId="2B04EA1D" w14:textId="68D494AD" w:rsidR="00243B20" w:rsidRPr="000E1F83" w:rsidRDefault="00243B20" w:rsidP="00243B20">
      <w:pPr>
        <w:pStyle w:val="Paragrafoelenco"/>
        <w:numPr>
          <w:ilvl w:val="0"/>
          <w:numId w:val="6"/>
        </w:numPr>
        <w:ind w:left="0" w:firstLine="284"/>
        <w:rPr>
          <w:rFonts w:ascii="Times New Roman" w:hAnsi="Times New Roman" w:cs="Times New Roman"/>
          <w:color w:val="00B0F0"/>
          <w:sz w:val="24"/>
          <w:szCs w:val="24"/>
        </w:rPr>
      </w:pPr>
      <w:r w:rsidRPr="00243B20">
        <w:rPr>
          <w:rFonts w:ascii="Times New Roman" w:hAnsi="Times New Roman" w:cs="Times New Roman"/>
          <w:sz w:val="24"/>
          <w:szCs w:val="24"/>
        </w:rPr>
        <w:t>i locali siano situati in edifici sottoposti a interventi di recupero edilizio e di miglioramento delle caratteristiche igienico-sanitarie</w:t>
      </w:r>
      <w:r w:rsidR="000E1F83">
        <w:rPr>
          <w:rFonts w:ascii="Times New Roman" w:hAnsi="Times New Roman" w:cs="Times New Roman"/>
          <w:sz w:val="24"/>
          <w:szCs w:val="24"/>
        </w:rPr>
        <w:t xml:space="preserve">. </w:t>
      </w:r>
      <w:r w:rsidR="000E1F83" w:rsidRPr="000E1F83">
        <w:rPr>
          <w:rFonts w:ascii="Times New Roman" w:hAnsi="Times New Roman" w:cs="Times New Roman"/>
          <w:color w:val="00B0F0"/>
          <w:sz w:val="24"/>
          <w:szCs w:val="24"/>
        </w:rPr>
        <w:t>C</w:t>
      </w:r>
      <w:r w:rsidR="000E1F83" w:rsidRPr="000E1F83">
        <w:rPr>
          <w:rFonts w:ascii="Times New Roman" w:hAnsi="Times New Roman" w:cs="Times New Roman"/>
          <w:color w:val="00B0F0"/>
          <w:sz w:val="24"/>
          <w:szCs w:val="24"/>
        </w:rPr>
        <w:t>i si chiede se si dovrà coordinare tale disposizione con la norma in materia di interventi di recupero del patrimonio edilizio, ai sensi dell’art. 31 l. 457/1978</w:t>
      </w:r>
      <w:r w:rsidR="00A26348">
        <w:rPr>
          <w:rFonts w:ascii="Times New Roman" w:hAnsi="Times New Roman" w:cs="Times New Roman"/>
          <w:color w:val="00B0F0"/>
          <w:sz w:val="24"/>
          <w:szCs w:val="24"/>
        </w:rPr>
        <w:t>. Gli interpreti però hanno ritenuto tale norma implicitamente abrogata dall’art. 3 d.P.R. 380/2001. Il riferimento sia ai “locali” sia agli “edifici sottoposti a interventi …” implica gli interventi stessi dovranno riguardare l’intero fabbricato, ma poi l’agibilità potrà riferirsi anche a singole unità?</w:t>
      </w:r>
    </w:p>
    <w:p w14:paraId="59383623" w14:textId="0A5E8A04" w:rsidR="00243B20" w:rsidRDefault="00154C09" w:rsidP="00243B20">
      <w:pPr>
        <w:pStyle w:val="Paragrafoelenco"/>
        <w:numPr>
          <w:ilvl w:val="0"/>
          <w:numId w:val="6"/>
        </w:numPr>
        <w:ind w:left="0" w:firstLine="284"/>
        <w:rPr>
          <w:rFonts w:ascii="Times New Roman" w:hAnsi="Times New Roman" w:cs="Times New Roman"/>
          <w:sz w:val="24"/>
          <w:szCs w:val="24"/>
        </w:rPr>
      </w:pPr>
      <w:r w:rsidRPr="00154C09">
        <w:rPr>
          <w:rFonts w:ascii="Times New Roman" w:hAnsi="Times New Roman" w:cs="Times New Roman"/>
          <w:sz w:val="24"/>
          <w:szCs w:val="24"/>
          <w:u w:val="single"/>
        </w:rPr>
        <w:t>e/o</w:t>
      </w:r>
      <w:r>
        <w:rPr>
          <w:rFonts w:ascii="Times New Roman" w:hAnsi="Times New Roman" w:cs="Times New Roman"/>
          <w:sz w:val="24"/>
          <w:szCs w:val="24"/>
        </w:rPr>
        <w:t xml:space="preserve"> </w:t>
      </w:r>
      <w:r w:rsidR="00243B20" w:rsidRPr="00243B20">
        <w:rPr>
          <w:rFonts w:ascii="Times New Roman" w:hAnsi="Times New Roman" w:cs="Times New Roman"/>
          <w:sz w:val="24"/>
          <w:szCs w:val="24"/>
        </w:rPr>
        <w:t>sia contestualmente presentato un progetto di ristrutturazione con soluzioni alternative atte a garantire, in relazione al numero degli occupanti, idonee condizioni igienico-sanitarie dell</w:t>
      </w:r>
      <w:r w:rsidR="00243B20">
        <w:rPr>
          <w:rFonts w:ascii="Times New Roman" w:hAnsi="Times New Roman" w:cs="Times New Roman"/>
          <w:sz w:val="24"/>
          <w:szCs w:val="24"/>
        </w:rPr>
        <w:t>’</w:t>
      </w:r>
      <w:r w:rsidR="00243B20" w:rsidRPr="00243B20">
        <w:rPr>
          <w:rFonts w:ascii="Times New Roman" w:hAnsi="Times New Roman" w:cs="Times New Roman"/>
          <w:sz w:val="24"/>
          <w:szCs w:val="24"/>
        </w:rPr>
        <w:t>alloggio, ottenibili prevedendo una maggiore superficie dell</w:t>
      </w:r>
      <w:r w:rsidR="00243B20">
        <w:rPr>
          <w:rFonts w:ascii="Times New Roman" w:hAnsi="Times New Roman" w:cs="Times New Roman"/>
          <w:sz w:val="24"/>
          <w:szCs w:val="24"/>
        </w:rPr>
        <w:t>’</w:t>
      </w:r>
      <w:r w:rsidR="00243B20" w:rsidRPr="00243B20">
        <w:rPr>
          <w:rFonts w:ascii="Times New Roman" w:hAnsi="Times New Roman" w:cs="Times New Roman"/>
          <w:sz w:val="24"/>
          <w:szCs w:val="24"/>
        </w:rPr>
        <w:t>alloggio e dei vani abitabili ovvero la possibilità di un</w:t>
      </w:r>
      <w:r w:rsidR="00243B20">
        <w:rPr>
          <w:rFonts w:ascii="Times New Roman" w:hAnsi="Times New Roman" w:cs="Times New Roman"/>
          <w:sz w:val="24"/>
          <w:szCs w:val="24"/>
        </w:rPr>
        <w:t>’</w:t>
      </w:r>
      <w:r w:rsidR="00243B20" w:rsidRPr="00243B20">
        <w:rPr>
          <w:rFonts w:ascii="Times New Roman" w:hAnsi="Times New Roman" w:cs="Times New Roman"/>
          <w:sz w:val="24"/>
          <w:szCs w:val="24"/>
        </w:rPr>
        <w:t>adeguata ventilazione naturale favorita dalla dimensione e tipologia delle finestre, dai riscontri d</w:t>
      </w:r>
      <w:r w:rsidR="00243B20">
        <w:rPr>
          <w:rFonts w:ascii="Times New Roman" w:hAnsi="Times New Roman" w:cs="Times New Roman"/>
          <w:sz w:val="24"/>
          <w:szCs w:val="24"/>
        </w:rPr>
        <w:t>’</w:t>
      </w:r>
      <w:r w:rsidR="00243B20" w:rsidRPr="00243B20">
        <w:rPr>
          <w:rFonts w:ascii="Times New Roman" w:hAnsi="Times New Roman" w:cs="Times New Roman"/>
          <w:sz w:val="24"/>
          <w:szCs w:val="24"/>
        </w:rPr>
        <w:t>aria trasversali e dall</w:t>
      </w:r>
      <w:r w:rsidR="00243B20">
        <w:rPr>
          <w:rFonts w:ascii="Times New Roman" w:hAnsi="Times New Roman" w:cs="Times New Roman"/>
          <w:sz w:val="24"/>
          <w:szCs w:val="24"/>
        </w:rPr>
        <w:t>’</w:t>
      </w:r>
      <w:r w:rsidR="00243B20" w:rsidRPr="00243B20">
        <w:rPr>
          <w:rFonts w:ascii="Times New Roman" w:hAnsi="Times New Roman" w:cs="Times New Roman"/>
          <w:sz w:val="24"/>
          <w:szCs w:val="24"/>
        </w:rPr>
        <w:t>impiego di mezzi di ventilazione naturale ausiliari.</w:t>
      </w:r>
      <w:r w:rsidR="00A26348">
        <w:rPr>
          <w:rFonts w:ascii="Times New Roman" w:hAnsi="Times New Roman" w:cs="Times New Roman"/>
          <w:sz w:val="24"/>
          <w:szCs w:val="24"/>
        </w:rPr>
        <w:t xml:space="preserve"> </w:t>
      </w:r>
      <w:r w:rsidR="00A26348">
        <w:rPr>
          <w:rFonts w:ascii="Times New Roman" w:hAnsi="Times New Roman" w:cs="Times New Roman"/>
          <w:color w:val="00B0F0"/>
          <w:sz w:val="24"/>
          <w:szCs w:val="24"/>
        </w:rPr>
        <w:t>Il riferimento al solo “alloggio” di cui alla presente lettera implica che si potrà ignorare il fabbricato di cui fa parte?</w:t>
      </w:r>
    </w:p>
    <w:p w14:paraId="30CF6F34" w14:textId="2357F8FD" w:rsidR="000E1F83" w:rsidRPr="000E1F83" w:rsidRDefault="000E1F83" w:rsidP="000E1F83">
      <w:pPr>
        <w:rPr>
          <w:rFonts w:ascii="Times New Roman" w:hAnsi="Times New Roman" w:cs="Times New Roman"/>
          <w:color w:val="00B0F0"/>
          <w:sz w:val="24"/>
          <w:szCs w:val="24"/>
        </w:rPr>
      </w:pPr>
      <w:r>
        <w:rPr>
          <w:rFonts w:ascii="Times New Roman" w:hAnsi="Times New Roman" w:cs="Times New Roman"/>
          <w:color w:val="00B0F0"/>
          <w:sz w:val="24"/>
          <w:szCs w:val="24"/>
        </w:rPr>
        <w:lastRenderedPageBreak/>
        <w:t>Rispetto alla complessiva introduzione di tali ipotesi di agibilità, ci si chiede se varrà solo per il patrimonio edilizio esistente, oppure anche per le nuove costruzioni, oppure ancora anche per le ristrutturazioni edilizie.</w:t>
      </w:r>
    </w:p>
    <w:p w14:paraId="5A2568DB" w14:textId="3DAF9BDF" w:rsidR="00243B20" w:rsidRPr="00243B20" w:rsidRDefault="00243B20" w:rsidP="00243B20">
      <w:pPr>
        <w:rPr>
          <w:rFonts w:ascii="Times New Roman" w:hAnsi="Times New Roman" w:cs="Times New Roman"/>
          <w:sz w:val="24"/>
          <w:szCs w:val="24"/>
        </w:rPr>
      </w:pPr>
      <w:r>
        <w:rPr>
          <w:rFonts w:ascii="Times New Roman" w:hAnsi="Times New Roman" w:cs="Times New Roman"/>
          <w:sz w:val="24"/>
          <w:szCs w:val="24"/>
        </w:rPr>
        <w:t>L’</w:t>
      </w:r>
      <w:r w:rsidRPr="00243B20">
        <w:rPr>
          <w:rFonts w:ascii="Times New Roman" w:hAnsi="Times New Roman" w:cs="Times New Roman"/>
          <w:b/>
          <w:bCs/>
          <w:sz w:val="24"/>
          <w:szCs w:val="24"/>
        </w:rPr>
        <w:t>art. 24, co. 5-</w:t>
      </w:r>
      <w:r>
        <w:rPr>
          <w:rFonts w:ascii="Times New Roman" w:hAnsi="Times New Roman" w:cs="Times New Roman"/>
          <w:b/>
          <w:bCs/>
          <w:i/>
          <w:iCs/>
          <w:sz w:val="24"/>
          <w:szCs w:val="24"/>
        </w:rPr>
        <w:t>quat</w:t>
      </w:r>
      <w:r w:rsidRPr="00243B20">
        <w:rPr>
          <w:rFonts w:ascii="Times New Roman" w:hAnsi="Times New Roman" w:cs="Times New Roman"/>
          <w:b/>
          <w:bCs/>
          <w:i/>
          <w:iCs/>
          <w:sz w:val="24"/>
          <w:szCs w:val="24"/>
        </w:rPr>
        <w:t>er</w:t>
      </w:r>
      <w:r>
        <w:rPr>
          <w:rFonts w:ascii="Times New Roman" w:hAnsi="Times New Roman" w:cs="Times New Roman"/>
          <w:sz w:val="24"/>
          <w:szCs w:val="24"/>
        </w:rPr>
        <w:t xml:space="preserve"> T.U. edilizia introduce una clausola di salvaguardia, tale per cui r</w:t>
      </w:r>
      <w:r w:rsidRPr="00243B20">
        <w:rPr>
          <w:rFonts w:ascii="Times New Roman" w:hAnsi="Times New Roman" w:cs="Times New Roman"/>
          <w:sz w:val="24"/>
          <w:szCs w:val="24"/>
        </w:rPr>
        <w:t>estano ferme le deroghe ai limiti di altezza minima e superficie minima dei locali previste a legislazione vigente</w:t>
      </w:r>
      <w:r>
        <w:rPr>
          <w:rFonts w:ascii="Times New Roman" w:hAnsi="Times New Roman" w:cs="Times New Roman"/>
          <w:sz w:val="24"/>
          <w:szCs w:val="24"/>
        </w:rPr>
        <w:t>.</w:t>
      </w:r>
    </w:p>
    <w:p w14:paraId="051A1DFC" w14:textId="5E08DB5C" w:rsidR="00243B20" w:rsidRDefault="00243B20" w:rsidP="00243B20">
      <w:pPr>
        <w:rPr>
          <w:rFonts w:ascii="Times New Roman" w:hAnsi="Times New Roman" w:cs="Times New Roman"/>
          <w:sz w:val="24"/>
          <w:szCs w:val="24"/>
        </w:rPr>
      </w:pPr>
      <w:r>
        <w:rPr>
          <w:rFonts w:ascii="Times New Roman" w:hAnsi="Times New Roman" w:cs="Times New Roman"/>
          <w:sz w:val="24"/>
          <w:szCs w:val="24"/>
        </w:rPr>
        <w:t xml:space="preserve">La sensazione è che questa specifica valga non solo per la particolare ipotesi di agibilità di cui ai commi 5 </w:t>
      </w:r>
      <w:r>
        <w:rPr>
          <w:rFonts w:ascii="Times New Roman" w:hAnsi="Times New Roman" w:cs="Times New Roman"/>
          <w:i/>
          <w:iCs/>
          <w:sz w:val="24"/>
          <w:szCs w:val="24"/>
        </w:rPr>
        <w:t>bis-ter</w:t>
      </w:r>
      <w:r>
        <w:rPr>
          <w:rFonts w:ascii="Times New Roman" w:hAnsi="Times New Roman" w:cs="Times New Roman"/>
          <w:sz w:val="24"/>
          <w:szCs w:val="24"/>
        </w:rPr>
        <w:t xml:space="preserve"> che precedono, ma più in generale per </w:t>
      </w:r>
      <w:r w:rsidR="00F45EA4">
        <w:rPr>
          <w:rFonts w:ascii="Times New Roman" w:hAnsi="Times New Roman" w:cs="Times New Roman"/>
          <w:sz w:val="24"/>
          <w:szCs w:val="24"/>
        </w:rPr>
        <w:t>l’agibilità degli edifici in quanto tale. In fondo, una deroga vigente è pur sempre una deroga vigente.</w:t>
      </w:r>
    </w:p>
    <w:p w14:paraId="3DCD7C68" w14:textId="013D0265" w:rsidR="000E1F83" w:rsidRPr="000E1F83" w:rsidRDefault="000E1F83" w:rsidP="00243B20">
      <w:pPr>
        <w:rPr>
          <w:rFonts w:ascii="Times New Roman" w:hAnsi="Times New Roman" w:cs="Times New Roman"/>
          <w:color w:val="00B0F0"/>
          <w:sz w:val="24"/>
          <w:szCs w:val="24"/>
        </w:rPr>
      </w:pPr>
      <w:r>
        <w:rPr>
          <w:rFonts w:ascii="Times New Roman" w:hAnsi="Times New Roman" w:cs="Times New Roman"/>
          <w:color w:val="00B0F0"/>
          <w:sz w:val="24"/>
          <w:szCs w:val="24"/>
        </w:rPr>
        <w:t xml:space="preserve">Ci si è chiesti se le novelle testé esaminate cambieranno qualcosa nell’interpretazione dell’art. 7 l.r. Veneto 14/2019 (rubricato </w:t>
      </w:r>
      <w:r w:rsidRPr="000E1F83">
        <w:rPr>
          <w:rFonts w:ascii="Times New Roman" w:hAnsi="Times New Roman" w:cs="Times New Roman"/>
          <w:i/>
          <w:iCs/>
          <w:color w:val="00B0F0"/>
          <w:sz w:val="24"/>
          <w:szCs w:val="24"/>
        </w:rPr>
        <w:t>Interventi di riqualificazione del tessuto edilizio</w:t>
      </w:r>
      <w:r>
        <w:rPr>
          <w:rFonts w:ascii="Times New Roman" w:hAnsi="Times New Roman" w:cs="Times New Roman"/>
          <w:color w:val="00B0F0"/>
          <w:sz w:val="24"/>
          <w:szCs w:val="24"/>
        </w:rPr>
        <w:t>).</w:t>
      </w:r>
    </w:p>
    <w:p w14:paraId="5F08C0D2" w14:textId="2DA4944D" w:rsidR="00F45EA4" w:rsidRPr="00091726" w:rsidRDefault="00F45EA4" w:rsidP="00F45EA4">
      <w:pPr>
        <w:rPr>
          <w:rFonts w:ascii="Times New Roman" w:hAnsi="Times New Roman" w:cs="Times New Roman"/>
          <w:b/>
          <w:bCs/>
          <w:sz w:val="24"/>
          <w:szCs w:val="24"/>
        </w:rPr>
      </w:pPr>
      <w:r>
        <w:rPr>
          <w:rFonts w:ascii="Times New Roman" w:hAnsi="Times New Roman" w:cs="Times New Roman"/>
          <w:b/>
          <w:bCs/>
          <w:sz w:val="24"/>
          <w:szCs w:val="24"/>
        </w:rPr>
        <w:t>2</w:t>
      </w:r>
      <w:r w:rsidRPr="00274958">
        <w:rPr>
          <w:rFonts w:ascii="Times New Roman" w:hAnsi="Times New Roman" w:cs="Times New Roman"/>
          <w:b/>
          <w:bCs/>
          <w:sz w:val="24"/>
          <w:szCs w:val="24"/>
        </w:rPr>
        <w:t xml:space="preserve">. </w:t>
      </w:r>
      <w:r w:rsidRPr="00274958">
        <w:rPr>
          <w:rFonts w:ascii="Times New Roman" w:hAnsi="Times New Roman" w:cs="Times New Roman"/>
          <w:b/>
          <w:bCs/>
          <w:i/>
          <w:iCs/>
          <w:sz w:val="24"/>
          <w:szCs w:val="24"/>
        </w:rPr>
        <w:t xml:space="preserve">Le novelle all’art. </w:t>
      </w:r>
      <w:r>
        <w:rPr>
          <w:rFonts w:ascii="Times New Roman" w:hAnsi="Times New Roman" w:cs="Times New Roman"/>
          <w:b/>
          <w:bCs/>
          <w:i/>
          <w:iCs/>
          <w:sz w:val="24"/>
          <w:szCs w:val="24"/>
        </w:rPr>
        <w:t>31</w:t>
      </w:r>
      <w:r w:rsidRPr="00274958">
        <w:rPr>
          <w:rFonts w:ascii="Times New Roman" w:hAnsi="Times New Roman" w:cs="Times New Roman"/>
          <w:b/>
          <w:bCs/>
          <w:i/>
          <w:iCs/>
          <w:sz w:val="24"/>
          <w:szCs w:val="24"/>
        </w:rPr>
        <w:t xml:space="preserve"> T.U. edilizia</w:t>
      </w:r>
      <w:r>
        <w:rPr>
          <w:rFonts w:ascii="Times New Roman" w:hAnsi="Times New Roman" w:cs="Times New Roman"/>
          <w:b/>
          <w:bCs/>
          <w:i/>
          <w:iCs/>
          <w:sz w:val="24"/>
          <w:szCs w:val="24"/>
        </w:rPr>
        <w:t xml:space="preserve">: </w:t>
      </w:r>
      <w:r w:rsidRPr="00F45EA4">
        <w:rPr>
          <w:rFonts w:ascii="Times New Roman" w:hAnsi="Times New Roman" w:cs="Times New Roman"/>
          <w:b/>
          <w:bCs/>
          <w:color w:val="FF0000"/>
          <w:sz w:val="24"/>
          <w:szCs w:val="24"/>
        </w:rPr>
        <w:t xml:space="preserve">INTERVENTI ESEGUITI IN ASSENZA DI </w:t>
      </w:r>
      <w:r>
        <w:rPr>
          <w:rFonts w:ascii="Times New Roman" w:hAnsi="Times New Roman" w:cs="Times New Roman"/>
          <w:b/>
          <w:bCs/>
          <w:color w:val="FF0000"/>
          <w:sz w:val="24"/>
          <w:szCs w:val="24"/>
        </w:rPr>
        <w:t>P.D.C.</w:t>
      </w:r>
      <w:r w:rsidRPr="00F45EA4">
        <w:rPr>
          <w:rFonts w:ascii="Times New Roman" w:hAnsi="Times New Roman" w:cs="Times New Roman"/>
          <w:b/>
          <w:bCs/>
          <w:color w:val="FF0000"/>
          <w:sz w:val="24"/>
          <w:szCs w:val="24"/>
        </w:rPr>
        <w:t>, IN TOTALE DIFFORMITÀ O CON VARIAZIONI ESSENZIALI</w:t>
      </w:r>
    </w:p>
    <w:p w14:paraId="275DF8F0" w14:textId="6F622412" w:rsidR="00F45EA4" w:rsidRDefault="00F45EA4" w:rsidP="00243B20">
      <w:pPr>
        <w:rPr>
          <w:rFonts w:ascii="Times New Roman" w:hAnsi="Times New Roman" w:cs="Times New Roman"/>
          <w:sz w:val="24"/>
          <w:szCs w:val="24"/>
        </w:rPr>
      </w:pPr>
      <w:r>
        <w:rPr>
          <w:rFonts w:ascii="Times New Roman" w:hAnsi="Times New Roman" w:cs="Times New Roman"/>
          <w:sz w:val="24"/>
          <w:szCs w:val="24"/>
        </w:rPr>
        <w:t xml:space="preserve">I commi 1 e 2 dell’art. 31 T.U. edilizia sono rimasti immutati, ma </w:t>
      </w:r>
      <w:r w:rsidR="00A32C53">
        <w:rPr>
          <w:rFonts w:ascii="Times New Roman" w:hAnsi="Times New Roman" w:cs="Times New Roman"/>
          <w:sz w:val="24"/>
          <w:szCs w:val="24"/>
        </w:rPr>
        <w:t>sia consentito proporre un ripasso</w:t>
      </w:r>
      <w:r>
        <w:rPr>
          <w:rFonts w:ascii="Times New Roman" w:hAnsi="Times New Roman" w:cs="Times New Roman"/>
          <w:sz w:val="24"/>
          <w:szCs w:val="24"/>
        </w:rPr>
        <w:t xml:space="preserve"> del loro contenuto, per afferrare meglio le novità introdotte dalla riforma.</w:t>
      </w:r>
    </w:p>
    <w:p w14:paraId="4B5FF314" w14:textId="19D22C79" w:rsidR="00F45EA4" w:rsidRDefault="00F45EA4" w:rsidP="00243B20">
      <w:pPr>
        <w:rPr>
          <w:rFonts w:ascii="Times New Roman" w:hAnsi="Times New Roman" w:cs="Times New Roman"/>
          <w:sz w:val="24"/>
          <w:szCs w:val="24"/>
        </w:rPr>
      </w:pPr>
      <w:r w:rsidRPr="00F45EA4">
        <w:rPr>
          <w:rFonts w:ascii="Times New Roman" w:hAnsi="Times New Roman" w:cs="Times New Roman"/>
          <w:sz w:val="24"/>
          <w:szCs w:val="24"/>
        </w:rPr>
        <w:t>L’art. 31, co. 1 T.U. edilizia p</w:t>
      </w:r>
      <w:r>
        <w:rPr>
          <w:rFonts w:ascii="Times New Roman" w:hAnsi="Times New Roman" w:cs="Times New Roman"/>
          <w:sz w:val="24"/>
          <w:szCs w:val="24"/>
        </w:rPr>
        <w:t xml:space="preserve">one la definizione di </w:t>
      </w:r>
      <w:r w:rsidRPr="00F45EA4">
        <w:rPr>
          <w:rFonts w:ascii="Times New Roman" w:hAnsi="Times New Roman" w:cs="Times New Roman"/>
          <w:b/>
          <w:bCs/>
          <w:sz w:val="24"/>
          <w:szCs w:val="24"/>
        </w:rPr>
        <w:t>interventi eseguiti in totale difformità dal PdC</w:t>
      </w:r>
      <w:r>
        <w:rPr>
          <w:rFonts w:ascii="Times New Roman" w:hAnsi="Times New Roman" w:cs="Times New Roman"/>
          <w:sz w:val="24"/>
          <w:szCs w:val="24"/>
        </w:rPr>
        <w:t>, ovvero</w:t>
      </w:r>
      <w:r w:rsidRPr="00F45EA4">
        <w:rPr>
          <w:rFonts w:ascii="Times New Roman" w:hAnsi="Times New Roman" w:cs="Times New Roman"/>
          <w:sz w:val="24"/>
          <w:szCs w:val="24"/>
        </w:rPr>
        <w:t xml:space="preserve"> quelli che comportano la realizzazione di un organismo edilizio integralmente diverso per caratteristiche tipologiche, planovolumetriche o di utilizzazione da quello oggetto del permesso stesso, ovvero l</w:t>
      </w:r>
      <w:r>
        <w:rPr>
          <w:rFonts w:ascii="Times New Roman" w:hAnsi="Times New Roman" w:cs="Times New Roman"/>
          <w:sz w:val="24"/>
          <w:szCs w:val="24"/>
        </w:rPr>
        <w:t>’</w:t>
      </w:r>
      <w:r w:rsidRPr="00F45EA4">
        <w:rPr>
          <w:rFonts w:ascii="Times New Roman" w:hAnsi="Times New Roman" w:cs="Times New Roman"/>
          <w:sz w:val="24"/>
          <w:szCs w:val="24"/>
        </w:rPr>
        <w:t>esecuzione di volumi edilizi oltre i limiti indicati nel progetto e tali da costituire un organismo edilizio o parte di esso con specifica rilevanza ed autonomamente utilizzabile</w:t>
      </w:r>
      <w:r>
        <w:rPr>
          <w:rFonts w:ascii="Times New Roman" w:hAnsi="Times New Roman" w:cs="Times New Roman"/>
          <w:sz w:val="24"/>
          <w:szCs w:val="24"/>
        </w:rPr>
        <w:t>.</w:t>
      </w:r>
    </w:p>
    <w:p w14:paraId="4DC87CFD" w14:textId="0B9750BF" w:rsidR="00F45EA4" w:rsidRDefault="00F45EA4" w:rsidP="00243B20">
      <w:pPr>
        <w:rPr>
          <w:rFonts w:ascii="Times New Roman" w:hAnsi="Times New Roman" w:cs="Times New Roman"/>
          <w:sz w:val="24"/>
          <w:szCs w:val="24"/>
        </w:rPr>
      </w:pPr>
      <w:r>
        <w:rPr>
          <w:rFonts w:ascii="Times New Roman" w:hAnsi="Times New Roman" w:cs="Times New Roman"/>
          <w:sz w:val="24"/>
          <w:szCs w:val="24"/>
        </w:rPr>
        <w:t>Ai sensi del successivo comma 2, i</w:t>
      </w:r>
      <w:r w:rsidRPr="00F45EA4">
        <w:rPr>
          <w:rFonts w:ascii="Times New Roman" w:hAnsi="Times New Roman" w:cs="Times New Roman"/>
          <w:sz w:val="24"/>
          <w:szCs w:val="24"/>
        </w:rPr>
        <w:t xml:space="preserve">l dirigente o il responsabile del competente </w:t>
      </w:r>
      <w:r>
        <w:rPr>
          <w:rFonts w:ascii="Times New Roman" w:hAnsi="Times New Roman" w:cs="Times New Roman"/>
          <w:sz w:val="24"/>
          <w:szCs w:val="24"/>
        </w:rPr>
        <w:t>U</w:t>
      </w:r>
      <w:r w:rsidRPr="00F45EA4">
        <w:rPr>
          <w:rFonts w:ascii="Times New Roman" w:hAnsi="Times New Roman" w:cs="Times New Roman"/>
          <w:sz w:val="24"/>
          <w:szCs w:val="24"/>
        </w:rPr>
        <w:t>fficio comunale, accertata l</w:t>
      </w:r>
      <w:r>
        <w:rPr>
          <w:rFonts w:ascii="Times New Roman" w:hAnsi="Times New Roman" w:cs="Times New Roman"/>
          <w:sz w:val="24"/>
          <w:szCs w:val="24"/>
        </w:rPr>
        <w:t>’</w:t>
      </w:r>
      <w:r w:rsidRPr="00F45EA4">
        <w:rPr>
          <w:rFonts w:ascii="Times New Roman" w:hAnsi="Times New Roman" w:cs="Times New Roman"/>
          <w:sz w:val="24"/>
          <w:szCs w:val="24"/>
        </w:rPr>
        <w:t xml:space="preserve">esecuzione di interventi in assenza di </w:t>
      </w:r>
      <w:r>
        <w:rPr>
          <w:rFonts w:ascii="Times New Roman" w:hAnsi="Times New Roman" w:cs="Times New Roman"/>
          <w:sz w:val="24"/>
          <w:szCs w:val="24"/>
        </w:rPr>
        <w:t>PdC</w:t>
      </w:r>
      <w:r w:rsidRPr="00F45EA4">
        <w:rPr>
          <w:rFonts w:ascii="Times New Roman" w:hAnsi="Times New Roman" w:cs="Times New Roman"/>
          <w:sz w:val="24"/>
          <w:szCs w:val="24"/>
        </w:rPr>
        <w:t>, in totale difformità dal medesimo, ovvero con variazioni essenziali</w:t>
      </w:r>
      <w:r>
        <w:rPr>
          <w:rFonts w:ascii="Times New Roman" w:hAnsi="Times New Roman" w:cs="Times New Roman"/>
          <w:sz w:val="24"/>
          <w:szCs w:val="24"/>
        </w:rPr>
        <w:t xml:space="preserve"> </w:t>
      </w:r>
      <w:r>
        <w:rPr>
          <w:rFonts w:ascii="Times New Roman" w:hAnsi="Times New Roman" w:cs="Times New Roman"/>
          <w:i/>
          <w:iCs/>
          <w:sz w:val="24"/>
          <w:szCs w:val="24"/>
        </w:rPr>
        <w:t>ex</w:t>
      </w:r>
      <w:r>
        <w:rPr>
          <w:rFonts w:ascii="Times New Roman" w:hAnsi="Times New Roman" w:cs="Times New Roman"/>
          <w:sz w:val="24"/>
          <w:szCs w:val="24"/>
        </w:rPr>
        <w:t xml:space="preserve"> art. 32 T.U. edilizia</w:t>
      </w:r>
      <w:r w:rsidRPr="00F45EA4">
        <w:rPr>
          <w:rFonts w:ascii="Times New Roman" w:hAnsi="Times New Roman" w:cs="Times New Roman"/>
          <w:sz w:val="24"/>
          <w:szCs w:val="24"/>
        </w:rPr>
        <w:t>, ingiunge al proprietario e al responsabile dell</w:t>
      </w:r>
      <w:r>
        <w:rPr>
          <w:rFonts w:ascii="Times New Roman" w:hAnsi="Times New Roman" w:cs="Times New Roman"/>
          <w:sz w:val="24"/>
          <w:szCs w:val="24"/>
        </w:rPr>
        <w:t>’</w:t>
      </w:r>
      <w:r w:rsidRPr="00F45EA4">
        <w:rPr>
          <w:rFonts w:ascii="Times New Roman" w:hAnsi="Times New Roman" w:cs="Times New Roman"/>
          <w:sz w:val="24"/>
          <w:szCs w:val="24"/>
        </w:rPr>
        <w:t>abuso la rimozione o la demolizione, indicando nel provvedimento l</w:t>
      </w:r>
      <w:r>
        <w:rPr>
          <w:rFonts w:ascii="Times New Roman" w:hAnsi="Times New Roman" w:cs="Times New Roman"/>
          <w:sz w:val="24"/>
          <w:szCs w:val="24"/>
        </w:rPr>
        <w:t>’</w:t>
      </w:r>
      <w:r w:rsidRPr="00F45EA4">
        <w:rPr>
          <w:rFonts w:ascii="Times New Roman" w:hAnsi="Times New Roman" w:cs="Times New Roman"/>
          <w:sz w:val="24"/>
          <w:szCs w:val="24"/>
        </w:rPr>
        <w:t xml:space="preserve">area che viene acquisita di diritto, </w:t>
      </w:r>
      <w:r>
        <w:rPr>
          <w:rFonts w:ascii="Times New Roman" w:hAnsi="Times New Roman" w:cs="Times New Roman"/>
          <w:sz w:val="24"/>
          <w:szCs w:val="24"/>
        </w:rPr>
        <w:t>in caso di mancata demolizione.</w:t>
      </w:r>
    </w:p>
    <w:p w14:paraId="1BF281AF" w14:textId="54C7F897" w:rsidR="00F45EA4" w:rsidRDefault="00F45EA4" w:rsidP="00243B20">
      <w:pPr>
        <w:rPr>
          <w:rFonts w:ascii="Times New Roman" w:hAnsi="Times New Roman" w:cs="Times New Roman"/>
          <w:sz w:val="24"/>
          <w:szCs w:val="24"/>
        </w:rPr>
      </w:pPr>
      <w:r>
        <w:rPr>
          <w:rFonts w:ascii="Times New Roman" w:hAnsi="Times New Roman" w:cs="Times New Roman"/>
          <w:sz w:val="24"/>
          <w:szCs w:val="24"/>
        </w:rPr>
        <w:t xml:space="preserve">Se il privato demolisce, oppure ottiene una sanatoria, </w:t>
      </w:r>
      <w:r>
        <w:rPr>
          <w:rFonts w:ascii="Times New Roman" w:hAnsi="Times New Roman" w:cs="Times New Roman"/>
          <w:i/>
          <w:iCs/>
          <w:sz w:val="24"/>
          <w:szCs w:val="24"/>
        </w:rPr>
        <w:t>nulla quaestio</w:t>
      </w:r>
      <w:r>
        <w:rPr>
          <w:rFonts w:ascii="Times New Roman" w:hAnsi="Times New Roman" w:cs="Times New Roman"/>
          <w:sz w:val="24"/>
          <w:szCs w:val="24"/>
        </w:rPr>
        <w:t>.</w:t>
      </w:r>
    </w:p>
    <w:p w14:paraId="39B59C15" w14:textId="05812581" w:rsidR="00F45EA4" w:rsidRDefault="00F45EA4" w:rsidP="00243B20">
      <w:pPr>
        <w:rPr>
          <w:rFonts w:ascii="Times New Roman" w:hAnsi="Times New Roman" w:cs="Times New Roman"/>
          <w:sz w:val="24"/>
          <w:szCs w:val="24"/>
        </w:rPr>
      </w:pPr>
      <w:r>
        <w:rPr>
          <w:rFonts w:ascii="Times New Roman" w:hAnsi="Times New Roman" w:cs="Times New Roman"/>
          <w:sz w:val="24"/>
          <w:szCs w:val="24"/>
        </w:rPr>
        <w:t>Ai sensi del successivo comma 3, s</w:t>
      </w:r>
      <w:r w:rsidRPr="00F45EA4">
        <w:rPr>
          <w:rFonts w:ascii="Times New Roman" w:hAnsi="Times New Roman" w:cs="Times New Roman"/>
          <w:sz w:val="24"/>
          <w:szCs w:val="24"/>
        </w:rPr>
        <w:t>e</w:t>
      </w:r>
      <w:r>
        <w:rPr>
          <w:rFonts w:ascii="Times New Roman" w:hAnsi="Times New Roman" w:cs="Times New Roman"/>
          <w:sz w:val="24"/>
          <w:szCs w:val="24"/>
        </w:rPr>
        <w:t xml:space="preserve"> invece</w:t>
      </w:r>
      <w:r w:rsidRPr="00F45EA4">
        <w:rPr>
          <w:rFonts w:ascii="Times New Roman" w:hAnsi="Times New Roman" w:cs="Times New Roman"/>
          <w:sz w:val="24"/>
          <w:szCs w:val="24"/>
        </w:rPr>
        <w:t xml:space="preserve"> il responsabile dell</w:t>
      </w:r>
      <w:r>
        <w:rPr>
          <w:rFonts w:ascii="Times New Roman" w:hAnsi="Times New Roman" w:cs="Times New Roman"/>
          <w:sz w:val="24"/>
          <w:szCs w:val="24"/>
        </w:rPr>
        <w:t>’</w:t>
      </w:r>
      <w:r w:rsidRPr="00F45EA4">
        <w:rPr>
          <w:rFonts w:ascii="Times New Roman" w:hAnsi="Times New Roman" w:cs="Times New Roman"/>
          <w:sz w:val="24"/>
          <w:szCs w:val="24"/>
        </w:rPr>
        <w:t xml:space="preserve">abuso non provvede alla demolizione e al ripristino dello stato dei luoghi nel termine di </w:t>
      </w:r>
      <w:r>
        <w:rPr>
          <w:rFonts w:ascii="Times New Roman" w:hAnsi="Times New Roman" w:cs="Times New Roman"/>
          <w:sz w:val="24"/>
          <w:szCs w:val="24"/>
        </w:rPr>
        <w:t>90</w:t>
      </w:r>
      <w:r w:rsidRPr="00F45EA4">
        <w:rPr>
          <w:rFonts w:ascii="Times New Roman" w:hAnsi="Times New Roman" w:cs="Times New Roman"/>
          <w:sz w:val="24"/>
          <w:szCs w:val="24"/>
        </w:rPr>
        <w:t xml:space="preserve"> giorni dall</w:t>
      </w:r>
      <w:r>
        <w:rPr>
          <w:rFonts w:ascii="Times New Roman" w:hAnsi="Times New Roman" w:cs="Times New Roman"/>
          <w:sz w:val="24"/>
          <w:szCs w:val="24"/>
        </w:rPr>
        <w:t>’</w:t>
      </w:r>
      <w:r w:rsidRPr="00F45EA4">
        <w:rPr>
          <w:rFonts w:ascii="Times New Roman" w:hAnsi="Times New Roman" w:cs="Times New Roman"/>
          <w:sz w:val="24"/>
          <w:szCs w:val="24"/>
        </w:rPr>
        <w:t>ingiunzione, il bene e l</w:t>
      </w:r>
      <w:r>
        <w:rPr>
          <w:rFonts w:ascii="Times New Roman" w:hAnsi="Times New Roman" w:cs="Times New Roman"/>
          <w:sz w:val="24"/>
          <w:szCs w:val="24"/>
        </w:rPr>
        <w:t>’</w:t>
      </w:r>
      <w:r w:rsidRPr="00F45EA4">
        <w:rPr>
          <w:rFonts w:ascii="Times New Roman" w:hAnsi="Times New Roman" w:cs="Times New Roman"/>
          <w:sz w:val="24"/>
          <w:szCs w:val="24"/>
        </w:rPr>
        <w:t xml:space="preserve">area di sedime, nonché quella necessaria, secondo le vigenti prescrizioni urbanistiche, alla realizzazione di opere analoghe a quelle abusive sono acquisiti di diritto gratuitamente al patrimonio del </w:t>
      </w:r>
      <w:r>
        <w:rPr>
          <w:rFonts w:ascii="Times New Roman" w:hAnsi="Times New Roman" w:cs="Times New Roman"/>
          <w:sz w:val="24"/>
          <w:szCs w:val="24"/>
        </w:rPr>
        <w:t>C</w:t>
      </w:r>
      <w:r w:rsidRPr="00F45EA4">
        <w:rPr>
          <w:rFonts w:ascii="Times New Roman" w:hAnsi="Times New Roman" w:cs="Times New Roman"/>
          <w:sz w:val="24"/>
          <w:szCs w:val="24"/>
        </w:rPr>
        <w:t>omune. L</w:t>
      </w:r>
      <w:r>
        <w:rPr>
          <w:rFonts w:ascii="Times New Roman" w:hAnsi="Times New Roman" w:cs="Times New Roman"/>
          <w:sz w:val="24"/>
          <w:szCs w:val="24"/>
        </w:rPr>
        <w:t>’</w:t>
      </w:r>
      <w:r w:rsidRPr="00F45EA4">
        <w:rPr>
          <w:rFonts w:ascii="Times New Roman" w:hAnsi="Times New Roman" w:cs="Times New Roman"/>
          <w:sz w:val="24"/>
          <w:szCs w:val="24"/>
        </w:rPr>
        <w:t xml:space="preserve">area acquisita non può comunque essere superiore a </w:t>
      </w:r>
      <w:r>
        <w:rPr>
          <w:rFonts w:ascii="Times New Roman" w:hAnsi="Times New Roman" w:cs="Times New Roman"/>
          <w:sz w:val="24"/>
          <w:szCs w:val="24"/>
        </w:rPr>
        <w:t>10</w:t>
      </w:r>
      <w:r w:rsidRPr="00F45EA4">
        <w:rPr>
          <w:rFonts w:ascii="Times New Roman" w:hAnsi="Times New Roman" w:cs="Times New Roman"/>
          <w:sz w:val="24"/>
          <w:szCs w:val="24"/>
        </w:rPr>
        <w:t xml:space="preserve"> volte la complessiva superficie utile abusivamente costruita.</w:t>
      </w:r>
    </w:p>
    <w:p w14:paraId="785A1026" w14:textId="1393CBC8" w:rsidR="00F45EA4" w:rsidRDefault="00F45EA4" w:rsidP="00243B20">
      <w:pPr>
        <w:rPr>
          <w:rFonts w:ascii="Times New Roman" w:hAnsi="Times New Roman" w:cs="Times New Roman"/>
          <w:sz w:val="24"/>
          <w:szCs w:val="24"/>
        </w:rPr>
      </w:pPr>
      <w:r>
        <w:rPr>
          <w:rFonts w:ascii="Times New Roman" w:hAnsi="Times New Roman" w:cs="Times New Roman"/>
          <w:sz w:val="24"/>
          <w:szCs w:val="24"/>
        </w:rPr>
        <w:t>La l. 105/2024 ha introdotto un III periodo all’art. 31 cit., comma 3, ai sensi del quale i</w:t>
      </w:r>
      <w:r w:rsidRPr="00F45EA4">
        <w:rPr>
          <w:rFonts w:ascii="Times New Roman" w:hAnsi="Times New Roman" w:cs="Times New Roman"/>
          <w:sz w:val="24"/>
          <w:szCs w:val="24"/>
        </w:rPr>
        <w:t xml:space="preserve">l termine di </w:t>
      </w:r>
      <w:r>
        <w:rPr>
          <w:rFonts w:ascii="Times New Roman" w:hAnsi="Times New Roman" w:cs="Times New Roman"/>
          <w:sz w:val="24"/>
          <w:szCs w:val="24"/>
        </w:rPr>
        <w:t>90 giorni per demolire, decorrenti dalla relativa ordinanza,</w:t>
      </w:r>
      <w:r w:rsidRPr="00F45EA4">
        <w:rPr>
          <w:rFonts w:ascii="Times New Roman" w:hAnsi="Times New Roman" w:cs="Times New Roman"/>
          <w:sz w:val="24"/>
          <w:szCs w:val="24"/>
        </w:rPr>
        <w:t xml:space="preserve"> può essere </w:t>
      </w:r>
      <w:r w:rsidRPr="00F45EA4">
        <w:rPr>
          <w:rFonts w:ascii="Times New Roman" w:hAnsi="Times New Roman" w:cs="Times New Roman"/>
          <w:sz w:val="24"/>
          <w:szCs w:val="24"/>
          <w:u w:val="single"/>
        </w:rPr>
        <w:t>prorogato</w:t>
      </w:r>
      <w:r w:rsidRPr="00F45EA4">
        <w:rPr>
          <w:rFonts w:ascii="Times New Roman" w:hAnsi="Times New Roman" w:cs="Times New Roman"/>
          <w:sz w:val="24"/>
          <w:szCs w:val="24"/>
        </w:rPr>
        <w:t xml:space="preserve"> con atto motivato del Comune </w:t>
      </w:r>
      <w:r w:rsidRPr="00F45EA4">
        <w:rPr>
          <w:rFonts w:ascii="Times New Roman" w:hAnsi="Times New Roman" w:cs="Times New Roman"/>
          <w:sz w:val="24"/>
          <w:szCs w:val="24"/>
          <w:u w:val="single"/>
        </w:rPr>
        <w:t>fino a un massimo di 240 giorni</w:t>
      </w:r>
      <w:r w:rsidRPr="00F45EA4">
        <w:rPr>
          <w:rFonts w:ascii="Times New Roman" w:hAnsi="Times New Roman" w:cs="Times New Roman"/>
          <w:sz w:val="24"/>
          <w:szCs w:val="24"/>
        </w:rPr>
        <w:t xml:space="preserve"> nei casi di serie e comprovate esigenze di salute dei soggetti residenti nell</w:t>
      </w:r>
      <w:r>
        <w:rPr>
          <w:rFonts w:ascii="Times New Roman" w:hAnsi="Times New Roman" w:cs="Times New Roman"/>
          <w:sz w:val="24"/>
          <w:szCs w:val="24"/>
        </w:rPr>
        <w:t>’</w:t>
      </w:r>
      <w:r w:rsidRPr="00F45EA4">
        <w:rPr>
          <w:rFonts w:ascii="Times New Roman" w:hAnsi="Times New Roman" w:cs="Times New Roman"/>
          <w:sz w:val="24"/>
          <w:szCs w:val="24"/>
        </w:rPr>
        <w:t>immobile all</w:t>
      </w:r>
      <w:r>
        <w:rPr>
          <w:rFonts w:ascii="Times New Roman" w:hAnsi="Times New Roman" w:cs="Times New Roman"/>
          <w:sz w:val="24"/>
          <w:szCs w:val="24"/>
        </w:rPr>
        <w:t>’</w:t>
      </w:r>
      <w:r w:rsidRPr="00F45EA4">
        <w:rPr>
          <w:rFonts w:ascii="Times New Roman" w:hAnsi="Times New Roman" w:cs="Times New Roman"/>
          <w:sz w:val="24"/>
          <w:szCs w:val="24"/>
        </w:rPr>
        <w:t>epoca di adozione dell</w:t>
      </w:r>
      <w:r>
        <w:rPr>
          <w:rFonts w:ascii="Times New Roman" w:hAnsi="Times New Roman" w:cs="Times New Roman"/>
          <w:sz w:val="24"/>
          <w:szCs w:val="24"/>
        </w:rPr>
        <w:t>’</w:t>
      </w:r>
      <w:r w:rsidRPr="00F45EA4">
        <w:rPr>
          <w:rFonts w:ascii="Times New Roman" w:hAnsi="Times New Roman" w:cs="Times New Roman"/>
          <w:sz w:val="24"/>
          <w:szCs w:val="24"/>
        </w:rPr>
        <w:t>ingiunzione o di assoluto bisogno o di gravi situazioni di disagio socio-economico, che rendano inesigibile il rispetto di tale termine.</w:t>
      </w:r>
    </w:p>
    <w:p w14:paraId="3FAAC409" w14:textId="2F2E8F76" w:rsidR="00F45EA4" w:rsidRDefault="00F45EA4" w:rsidP="00243B20">
      <w:pPr>
        <w:rPr>
          <w:rFonts w:ascii="Times New Roman" w:hAnsi="Times New Roman" w:cs="Times New Roman"/>
          <w:sz w:val="24"/>
          <w:szCs w:val="24"/>
        </w:rPr>
      </w:pPr>
      <w:r>
        <w:rPr>
          <w:rFonts w:ascii="Times New Roman" w:hAnsi="Times New Roman" w:cs="Times New Roman"/>
          <w:sz w:val="24"/>
          <w:szCs w:val="24"/>
        </w:rPr>
        <w:t xml:space="preserve">Si scorra </w:t>
      </w:r>
      <w:r w:rsidR="00A32C53">
        <w:rPr>
          <w:rFonts w:ascii="Times New Roman" w:hAnsi="Times New Roman" w:cs="Times New Roman"/>
          <w:sz w:val="24"/>
          <w:szCs w:val="24"/>
        </w:rPr>
        <w:t xml:space="preserve">ora </w:t>
      </w:r>
      <w:r>
        <w:rPr>
          <w:rFonts w:ascii="Times New Roman" w:hAnsi="Times New Roman" w:cs="Times New Roman"/>
          <w:sz w:val="24"/>
          <w:szCs w:val="24"/>
        </w:rPr>
        <w:t>in avanti nel tempo e si ipotizzi che il privato si ostini a non demolire: il Comune deve acquisire l’abuso edilizio gratuitamente al patrimonio comunale.</w:t>
      </w:r>
    </w:p>
    <w:p w14:paraId="24CB426F" w14:textId="7107DBBC" w:rsidR="00F45EA4" w:rsidRDefault="00F45EA4" w:rsidP="00243B20">
      <w:pPr>
        <w:rPr>
          <w:rFonts w:ascii="Times New Roman" w:hAnsi="Times New Roman" w:cs="Times New Roman"/>
          <w:sz w:val="24"/>
          <w:szCs w:val="24"/>
        </w:rPr>
      </w:pPr>
      <w:r>
        <w:rPr>
          <w:rFonts w:ascii="Times New Roman" w:hAnsi="Times New Roman" w:cs="Times New Roman"/>
          <w:sz w:val="24"/>
          <w:szCs w:val="24"/>
        </w:rPr>
        <w:t>La riforma cd. Salva Casa ha introdotto delle novità all’art. 31 cit., comma 5.</w:t>
      </w:r>
    </w:p>
    <w:p w14:paraId="0BC2343D" w14:textId="77777777" w:rsidR="006437FF" w:rsidRDefault="00F45EA4" w:rsidP="00BB56C1">
      <w:pPr>
        <w:rPr>
          <w:rFonts w:ascii="Times New Roman" w:hAnsi="Times New Roman" w:cs="Times New Roman"/>
          <w:sz w:val="24"/>
          <w:szCs w:val="24"/>
        </w:rPr>
      </w:pPr>
      <w:r>
        <w:rPr>
          <w:rFonts w:ascii="Times New Roman" w:hAnsi="Times New Roman" w:cs="Times New Roman"/>
          <w:sz w:val="24"/>
          <w:szCs w:val="24"/>
        </w:rPr>
        <w:t xml:space="preserve">Il Comune, </w:t>
      </w:r>
      <w:r w:rsidR="0064356A">
        <w:rPr>
          <w:rFonts w:ascii="Times New Roman" w:hAnsi="Times New Roman" w:cs="Times New Roman"/>
          <w:sz w:val="24"/>
          <w:szCs w:val="24"/>
        </w:rPr>
        <w:t>effettuata l’</w:t>
      </w:r>
      <w:r w:rsidR="0064356A">
        <w:rPr>
          <w:rFonts w:ascii="Times New Roman" w:hAnsi="Times New Roman" w:cs="Times New Roman"/>
          <w:sz w:val="24"/>
          <w:szCs w:val="24"/>
          <w:u w:val="single"/>
        </w:rPr>
        <w:t>acquisizione gratuita</w:t>
      </w:r>
      <w:r w:rsidR="0064356A">
        <w:rPr>
          <w:rFonts w:ascii="Times New Roman" w:hAnsi="Times New Roman" w:cs="Times New Roman"/>
          <w:sz w:val="24"/>
          <w:szCs w:val="24"/>
        </w:rPr>
        <w:t>,</w:t>
      </w:r>
      <w:r>
        <w:rPr>
          <w:rFonts w:ascii="Times New Roman" w:hAnsi="Times New Roman" w:cs="Times New Roman"/>
          <w:sz w:val="24"/>
          <w:szCs w:val="24"/>
        </w:rPr>
        <w:t xml:space="preserve"> ha </w:t>
      </w:r>
      <w:r w:rsidR="006437FF">
        <w:rPr>
          <w:rFonts w:ascii="Times New Roman" w:hAnsi="Times New Roman" w:cs="Times New Roman"/>
          <w:sz w:val="24"/>
          <w:szCs w:val="24"/>
        </w:rPr>
        <w:t>tre</w:t>
      </w:r>
      <w:r>
        <w:rPr>
          <w:rFonts w:ascii="Times New Roman" w:hAnsi="Times New Roman" w:cs="Times New Roman"/>
          <w:sz w:val="24"/>
          <w:szCs w:val="24"/>
        </w:rPr>
        <w:t xml:space="preserve"> scelte:</w:t>
      </w:r>
      <w:r w:rsidR="00BB56C1">
        <w:rPr>
          <w:rFonts w:ascii="Times New Roman" w:hAnsi="Times New Roman" w:cs="Times New Roman"/>
          <w:sz w:val="24"/>
          <w:szCs w:val="24"/>
        </w:rPr>
        <w:t xml:space="preserve"> </w:t>
      </w:r>
    </w:p>
    <w:p w14:paraId="7C90EE41" w14:textId="77777777" w:rsidR="006437FF" w:rsidRDefault="00F45EA4" w:rsidP="006437FF">
      <w:pPr>
        <w:pStyle w:val="Paragrafoelenco"/>
        <w:numPr>
          <w:ilvl w:val="0"/>
          <w:numId w:val="9"/>
        </w:numPr>
        <w:ind w:left="0" w:firstLine="284"/>
        <w:rPr>
          <w:rFonts w:ascii="Times New Roman" w:hAnsi="Times New Roman" w:cs="Times New Roman"/>
          <w:sz w:val="24"/>
          <w:szCs w:val="24"/>
        </w:rPr>
      </w:pPr>
      <w:r w:rsidRPr="006437FF">
        <w:rPr>
          <w:rFonts w:ascii="Times New Roman" w:hAnsi="Times New Roman" w:cs="Times New Roman"/>
          <w:sz w:val="24"/>
          <w:szCs w:val="24"/>
        </w:rPr>
        <w:lastRenderedPageBreak/>
        <w:t xml:space="preserve">può </w:t>
      </w:r>
      <w:r w:rsidRPr="006437FF">
        <w:rPr>
          <w:rFonts w:ascii="Times New Roman" w:hAnsi="Times New Roman" w:cs="Times New Roman"/>
          <w:sz w:val="24"/>
          <w:szCs w:val="24"/>
          <w:u w:val="single"/>
        </w:rPr>
        <w:t>demolire</w:t>
      </w:r>
      <w:r w:rsidRPr="006437FF">
        <w:rPr>
          <w:rFonts w:ascii="Times New Roman" w:hAnsi="Times New Roman" w:cs="Times New Roman"/>
          <w:sz w:val="24"/>
          <w:szCs w:val="24"/>
        </w:rPr>
        <w:t xml:space="preserve"> l’opera acquisita con ordinanza del dirigente o del responsabile del competente Ufficio comunale a spese dei responsabili dell’abuso;</w:t>
      </w:r>
      <w:r w:rsidR="00BB56C1" w:rsidRPr="006437FF">
        <w:rPr>
          <w:rFonts w:ascii="Times New Roman" w:hAnsi="Times New Roman" w:cs="Times New Roman"/>
          <w:sz w:val="24"/>
          <w:szCs w:val="24"/>
        </w:rPr>
        <w:t xml:space="preserve"> </w:t>
      </w:r>
    </w:p>
    <w:p w14:paraId="5BCB9354" w14:textId="30717358" w:rsidR="006437FF" w:rsidRDefault="00F45EA4" w:rsidP="006437FF">
      <w:pPr>
        <w:pStyle w:val="Paragrafoelenco"/>
        <w:numPr>
          <w:ilvl w:val="0"/>
          <w:numId w:val="9"/>
        </w:numPr>
        <w:ind w:left="0" w:firstLine="284"/>
        <w:rPr>
          <w:rFonts w:ascii="Times New Roman" w:hAnsi="Times New Roman" w:cs="Times New Roman"/>
          <w:sz w:val="24"/>
          <w:szCs w:val="24"/>
        </w:rPr>
      </w:pPr>
      <w:r w:rsidRPr="006437FF">
        <w:rPr>
          <w:rFonts w:ascii="Times New Roman" w:hAnsi="Times New Roman" w:cs="Times New Roman"/>
          <w:sz w:val="24"/>
          <w:szCs w:val="24"/>
        </w:rPr>
        <w:t xml:space="preserve">può, con deliberazione del Consiglio comunale, dichiarare l’esistenza di </w:t>
      </w:r>
      <w:r w:rsidRPr="006437FF">
        <w:rPr>
          <w:rFonts w:ascii="Times New Roman" w:hAnsi="Times New Roman" w:cs="Times New Roman"/>
          <w:sz w:val="24"/>
          <w:szCs w:val="24"/>
          <w:u w:val="single"/>
        </w:rPr>
        <w:t>prevalenti interessi pubblici</w:t>
      </w:r>
      <w:r w:rsidR="00725261" w:rsidRPr="006437FF">
        <w:rPr>
          <w:rFonts w:ascii="Times New Roman" w:hAnsi="Times New Roman" w:cs="Times New Roman"/>
          <w:sz w:val="24"/>
          <w:szCs w:val="24"/>
        </w:rPr>
        <w:t xml:space="preserve"> che non rendono opportuna la demolizione</w:t>
      </w:r>
      <w:r w:rsidRPr="006437FF">
        <w:rPr>
          <w:rFonts w:ascii="Times New Roman" w:hAnsi="Times New Roman" w:cs="Times New Roman"/>
          <w:sz w:val="24"/>
          <w:szCs w:val="24"/>
        </w:rPr>
        <w:t>, purché l’opera non contrasti con rilevanti interessi urbanistici, culturali, paesaggistici, ambientali o di rispetto dell</w:t>
      </w:r>
      <w:r w:rsidR="00725261" w:rsidRPr="006437FF">
        <w:rPr>
          <w:rFonts w:ascii="Times New Roman" w:hAnsi="Times New Roman" w:cs="Times New Roman"/>
          <w:sz w:val="24"/>
          <w:szCs w:val="24"/>
        </w:rPr>
        <w:t>’</w:t>
      </w:r>
      <w:r w:rsidRPr="006437FF">
        <w:rPr>
          <w:rFonts w:ascii="Times New Roman" w:hAnsi="Times New Roman" w:cs="Times New Roman"/>
          <w:sz w:val="24"/>
          <w:szCs w:val="24"/>
        </w:rPr>
        <w:t>assetto idrogeologico</w:t>
      </w:r>
      <w:r w:rsidR="00725261" w:rsidRPr="006437FF">
        <w:rPr>
          <w:rFonts w:ascii="Times New Roman" w:hAnsi="Times New Roman" w:cs="Times New Roman"/>
          <w:sz w:val="24"/>
          <w:szCs w:val="24"/>
        </w:rPr>
        <w:t>,</w:t>
      </w:r>
      <w:r w:rsidRPr="006437FF">
        <w:rPr>
          <w:rFonts w:ascii="Times New Roman" w:hAnsi="Times New Roman" w:cs="Times New Roman"/>
          <w:sz w:val="24"/>
          <w:szCs w:val="24"/>
        </w:rPr>
        <w:t xml:space="preserve"> previa acquisizione degli assensi, concerti o nulla osta comunque denominati delle </w:t>
      </w:r>
      <w:r w:rsidR="00725261" w:rsidRPr="006437FF">
        <w:rPr>
          <w:rFonts w:ascii="Times New Roman" w:hAnsi="Times New Roman" w:cs="Times New Roman"/>
          <w:sz w:val="24"/>
          <w:szCs w:val="24"/>
        </w:rPr>
        <w:t>PP.AA.</w:t>
      </w:r>
      <w:r w:rsidRPr="006437FF">
        <w:rPr>
          <w:rFonts w:ascii="Times New Roman" w:hAnsi="Times New Roman" w:cs="Times New Roman"/>
          <w:sz w:val="24"/>
          <w:szCs w:val="24"/>
        </w:rPr>
        <w:t xml:space="preserve"> ai sensi dell</w:t>
      </w:r>
      <w:r w:rsidR="00725261" w:rsidRPr="006437FF">
        <w:rPr>
          <w:rFonts w:ascii="Times New Roman" w:hAnsi="Times New Roman" w:cs="Times New Roman"/>
          <w:sz w:val="24"/>
          <w:szCs w:val="24"/>
        </w:rPr>
        <w:t>’</w:t>
      </w:r>
      <w:r w:rsidRPr="006437FF">
        <w:rPr>
          <w:rFonts w:ascii="Times New Roman" w:hAnsi="Times New Roman" w:cs="Times New Roman"/>
          <w:sz w:val="24"/>
          <w:szCs w:val="24"/>
        </w:rPr>
        <w:t>art</w:t>
      </w:r>
      <w:r w:rsidR="00725261" w:rsidRPr="006437FF">
        <w:rPr>
          <w:rFonts w:ascii="Times New Roman" w:hAnsi="Times New Roman" w:cs="Times New Roman"/>
          <w:sz w:val="24"/>
          <w:szCs w:val="24"/>
        </w:rPr>
        <w:t>.</w:t>
      </w:r>
      <w:r w:rsidRPr="006437FF">
        <w:rPr>
          <w:rFonts w:ascii="Times New Roman" w:hAnsi="Times New Roman" w:cs="Times New Roman"/>
          <w:sz w:val="24"/>
          <w:szCs w:val="24"/>
        </w:rPr>
        <w:t xml:space="preserve"> 17-</w:t>
      </w:r>
      <w:r w:rsidRPr="006437FF">
        <w:rPr>
          <w:rFonts w:ascii="Times New Roman" w:hAnsi="Times New Roman" w:cs="Times New Roman"/>
          <w:i/>
          <w:iCs/>
          <w:sz w:val="24"/>
          <w:szCs w:val="24"/>
        </w:rPr>
        <w:t>bis</w:t>
      </w:r>
      <w:r w:rsidRPr="006437FF">
        <w:rPr>
          <w:rFonts w:ascii="Times New Roman" w:hAnsi="Times New Roman" w:cs="Times New Roman"/>
          <w:sz w:val="24"/>
          <w:szCs w:val="24"/>
        </w:rPr>
        <w:t xml:space="preserve"> </w:t>
      </w:r>
      <w:r w:rsidR="00725261" w:rsidRPr="006437FF">
        <w:rPr>
          <w:rFonts w:ascii="Times New Roman" w:hAnsi="Times New Roman" w:cs="Times New Roman"/>
          <w:sz w:val="24"/>
          <w:szCs w:val="24"/>
        </w:rPr>
        <w:t>l.</w:t>
      </w:r>
      <w:r w:rsidRPr="006437FF">
        <w:rPr>
          <w:rFonts w:ascii="Times New Roman" w:hAnsi="Times New Roman" w:cs="Times New Roman"/>
          <w:sz w:val="24"/>
          <w:szCs w:val="24"/>
        </w:rPr>
        <w:t xml:space="preserve"> </w:t>
      </w:r>
      <w:r w:rsidR="00725261" w:rsidRPr="006437FF">
        <w:rPr>
          <w:rFonts w:ascii="Times New Roman" w:hAnsi="Times New Roman" w:cs="Times New Roman"/>
          <w:sz w:val="24"/>
          <w:szCs w:val="24"/>
        </w:rPr>
        <w:t>241/</w:t>
      </w:r>
      <w:r w:rsidRPr="006437FF">
        <w:rPr>
          <w:rFonts w:ascii="Times New Roman" w:hAnsi="Times New Roman" w:cs="Times New Roman"/>
          <w:sz w:val="24"/>
          <w:szCs w:val="24"/>
        </w:rPr>
        <w:t>1990.</w:t>
      </w:r>
      <w:r w:rsidR="00A32C53">
        <w:rPr>
          <w:rFonts w:ascii="Times New Roman" w:hAnsi="Times New Roman" w:cs="Times New Roman"/>
          <w:sz w:val="24"/>
          <w:szCs w:val="24"/>
        </w:rPr>
        <w:t xml:space="preserve"> Il legislatore non spiega che cosa il Comune potrà o dovrà fare con l’immobile abusivo, ma avendo scelto di non demolirlo, si può ipotizzare che potrà essere usato in accordo con i prevalenti interessi pubblici individuati</w:t>
      </w:r>
      <w:r w:rsidR="006437FF">
        <w:rPr>
          <w:rFonts w:ascii="Times New Roman" w:hAnsi="Times New Roman" w:cs="Times New Roman"/>
          <w:sz w:val="24"/>
          <w:szCs w:val="24"/>
        </w:rPr>
        <w:t>;</w:t>
      </w:r>
    </w:p>
    <w:p w14:paraId="059F58E0" w14:textId="0402AC52" w:rsidR="00F45EA4" w:rsidRPr="006437FF" w:rsidRDefault="00725261" w:rsidP="006437FF">
      <w:pPr>
        <w:pStyle w:val="Paragrafoelenco"/>
        <w:numPr>
          <w:ilvl w:val="0"/>
          <w:numId w:val="9"/>
        </w:numPr>
        <w:ind w:left="0" w:firstLine="284"/>
        <w:rPr>
          <w:rFonts w:ascii="Times New Roman" w:hAnsi="Times New Roman" w:cs="Times New Roman"/>
          <w:sz w:val="24"/>
          <w:szCs w:val="24"/>
        </w:rPr>
      </w:pPr>
      <w:r w:rsidRPr="006437FF">
        <w:rPr>
          <w:rFonts w:ascii="Times New Roman" w:hAnsi="Times New Roman" w:cs="Times New Roman"/>
          <w:sz w:val="24"/>
          <w:szCs w:val="24"/>
        </w:rPr>
        <w:t>n</w:t>
      </w:r>
      <w:r w:rsidR="00F45EA4" w:rsidRPr="006437FF">
        <w:rPr>
          <w:rFonts w:ascii="Times New Roman" w:hAnsi="Times New Roman" w:cs="Times New Roman"/>
          <w:sz w:val="24"/>
          <w:szCs w:val="24"/>
        </w:rPr>
        <w:t>ei casi in cui l</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opera non contrasti con rilevanti interessi urbanistici, culturali, paesaggistici, ambientali o di rispetto dell</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 xml:space="preserve">assetto idrogeologico, il </w:t>
      </w:r>
      <w:r w:rsidRPr="006437FF">
        <w:rPr>
          <w:rFonts w:ascii="Times New Roman" w:hAnsi="Times New Roman" w:cs="Times New Roman"/>
          <w:sz w:val="24"/>
          <w:szCs w:val="24"/>
        </w:rPr>
        <w:t>C</w:t>
      </w:r>
      <w:r w:rsidR="00F45EA4" w:rsidRPr="006437FF">
        <w:rPr>
          <w:rFonts w:ascii="Times New Roman" w:hAnsi="Times New Roman" w:cs="Times New Roman"/>
          <w:sz w:val="24"/>
          <w:szCs w:val="24"/>
        </w:rPr>
        <w:t>omune</w:t>
      </w:r>
      <w:r w:rsidR="006437FF">
        <w:rPr>
          <w:rFonts w:ascii="Times New Roman" w:hAnsi="Times New Roman" w:cs="Times New Roman"/>
          <w:sz w:val="24"/>
          <w:szCs w:val="24"/>
        </w:rPr>
        <w:t xml:space="preserve"> (a mezzo della delibera consiliare, dopo la stessa, o senza di essa?)</w:t>
      </w:r>
      <w:r w:rsidR="00F45EA4" w:rsidRPr="006437FF">
        <w:rPr>
          <w:rFonts w:ascii="Times New Roman" w:hAnsi="Times New Roman" w:cs="Times New Roman"/>
          <w:sz w:val="24"/>
          <w:szCs w:val="24"/>
        </w:rPr>
        <w:t xml:space="preserve">, previa acquisizione degli assensi, concerti o nulla osta comunque denominati </w:t>
      </w:r>
      <w:r w:rsidRPr="006437FF">
        <w:rPr>
          <w:rFonts w:ascii="Times New Roman" w:hAnsi="Times New Roman" w:cs="Times New Roman"/>
          <w:sz w:val="24"/>
          <w:szCs w:val="24"/>
        </w:rPr>
        <w:t>delle PP.AA. ai sensi dell’art. 17-</w:t>
      </w:r>
      <w:r w:rsidRPr="006437FF">
        <w:rPr>
          <w:rFonts w:ascii="Times New Roman" w:hAnsi="Times New Roman" w:cs="Times New Roman"/>
          <w:i/>
          <w:iCs/>
          <w:sz w:val="24"/>
          <w:szCs w:val="24"/>
        </w:rPr>
        <w:t>bis</w:t>
      </w:r>
      <w:r w:rsidRPr="006437FF">
        <w:rPr>
          <w:rFonts w:ascii="Times New Roman" w:hAnsi="Times New Roman" w:cs="Times New Roman"/>
          <w:sz w:val="24"/>
          <w:szCs w:val="24"/>
        </w:rPr>
        <w:t xml:space="preserve"> l. 241/1990</w:t>
      </w:r>
      <w:r w:rsidR="00F45EA4" w:rsidRPr="006437FF">
        <w:rPr>
          <w:rFonts w:ascii="Times New Roman" w:hAnsi="Times New Roman" w:cs="Times New Roman"/>
          <w:sz w:val="24"/>
          <w:szCs w:val="24"/>
        </w:rPr>
        <w:t>, può</w:t>
      </w:r>
      <w:r w:rsidRPr="006437FF">
        <w:rPr>
          <w:rFonts w:ascii="Times New Roman" w:hAnsi="Times New Roman" w:cs="Times New Roman"/>
          <w:sz w:val="24"/>
          <w:szCs w:val="24"/>
        </w:rPr>
        <w:t xml:space="preserve"> </w:t>
      </w:r>
      <w:r w:rsidR="00F45EA4" w:rsidRPr="006437FF">
        <w:rPr>
          <w:rFonts w:ascii="Times New Roman" w:hAnsi="Times New Roman" w:cs="Times New Roman"/>
          <w:sz w:val="24"/>
          <w:szCs w:val="24"/>
        </w:rPr>
        <w:t>provvedere all</w:t>
      </w:r>
      <w:r w:rsidRPr="006437FF">
        <w:rPr>
          <w:rFonts w:ascii="Times New Roman" w:hAnsi="Times New Roman" w:cs="Times New Roman"/>
          <w:sz w:val="24"/>
          <w:szCs w:val="24"/>
        </w:rPr>
        <w:t>’</w:t>
      </w:r>
      <w:r w:rsidR="00F45EA4" w:rsidRPr="006437FF">
        <w:rPr>
          <w:rFonts w:ascii="Times New Roman" w:hAnsi="Times New Roman" w:cs="Times New Roman"/>
          <w:sz w:val="24"/>
          <w:szCs w:val="24"/>
          <w:u w:val="single"/>
        </w:rPr>
        <w:t>alienazione del bene e dell</w:t>
      </w:r>
      <w:r w:rsidRPr="006437FF">
        <w:rPr>
          <w:rFonts w:ascii="Times New Roman" w:hAnsi="Times New Roman" w:cs="Times New Roman"/>
          <w:sz w:val="24"/>
          <w:szCs w:val="24"/>
          <w:u w:val="single"/>
        </w:rPr>
        <w:t>’</w:t>
      </w:r>
      <w:r w:rsidR="00F45EA4" w:rsidRPr="006437FF">
        <w:rPr>
          <w:rFonts w:ascii="Times New Roman" w:hAnsi="Times New Roman" w:cs="Times New Roman"/>
          <w:sz w:val="24"/>
          <w:szCs w:val="24"/>
          <w:u w:val="single"/>
        </w:rPr>
        <w:t>area di sedime</w:t>
      </w:r>
      <w:r w:rsidR="00F45EA4" w:rsidRPr="006437FF">
        <w:rPr>
          <w:rFonts w:ascii="Times New Roman" w:hAnsi="Times New Roman" w:cs="Times New Roman"/>
          <w:sz w:val="24"/>
          <w:szCs w:val="24"/>
        </w:rPr>
        <w:t xml:space="preserve">, nel rispetto </w:t>
      </w:r>
      <w:r w:rsidR="00664164" w:rsidRPr="006437FF">
        <w:rPr>
          <w:rFonts w:ascii="Times New Roman" w:hAnsi="Times New Roman" w:cs="Times New Roman"/>
          <w:sz w:val="24"/>
          <w:szCs w:val="24"/>
        </w:rPr>
        <w:t>de</w:t>
      </w:r>
      <w:r w:rsidRPr="006437FF">
        <w:rPr>
          <w:rFonts w:ascii="Times New Roman" w:hAnsi="Times New Roman" w:cs="Times New Roman"/>
          <w:sz w:val="24"/>
          <w:szCs w:val="24"/>
        </w:rPr>
        <w:t>ll’art.</w:t>
      </w:r>
      <w:r w:rsidR="00F45EA4" w:rsidRPr="006437FF">
        <w:rPr>
          <w:rFonts w:ascii="Times New Roman" w:hAnsi="Times New Roman" w:cs="Times New Roman"/>
          <w:sz w:val="24"/>
          <w:szCs w:val="24"/>
        </w:rPr>
        <w:t xml:space="preserve"> 12, co</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 xml:space="preserve"> 2</w:t>
      </w:r>
      <w:r w:rsidRPr="006437FF">
        <w:rPr>
          <w:rFonts w:ascii="Times New Roman" w:hAnsi="Times New Roman" w:cs="Times New Roman"/>
          <w:sz w:val="24"/>
          <w:szCs w:val="24"/>
        </w:rPr>
        <w:t xml:space="preserve"> l.</w:t>
      </w:r>
      <w:r w:rsidR="00F45EA4" w:rsidRPr="006437FF">
        <w:rPr>
          <w:rFonts w:ascii="Times New Roman" w:hAnsi="Times New Roman" w:cs="Times New Roman"/>
          <w:sz w:val="24"/>
          <w:szCs w:val="24"/>
        </w:rPr>
        <w:t xml:space="preserve"> </w:t>
      </w:r>
      <w:r w:rsidRPr="006437FF">
        <w:rPr>
          <w:rFonts w:ascii="Times New Roman" w:hAnsi="Times New Roman" w:cs="Times New Roman"/>
          <w:sz w:val="24"/>
          <w:szCs w:val="24"/>
        </w:rPr>
        <w:t>127/</w:t>
      </w:r>
      <w:r w:rsidR="00F45EA4" w:rsidRPr="006437FF">
        <w:rPr>
          <w:rFonts w:ascii="Times New Roman" w:hAnsi="Times New Roman" w:cs="Times New Roman"/>
          <w:sz w:val="24"/>
          <w:szCs w:val="24"/>
        </w:rPr>
        <w:t>1997</w:t>
      </w:r>
      <w:r w:rsidRPr="006437FF">
        <w:rPr>
          <w:rFonts w:ascii="Times New Roman" w:hAnsi="Times New Roman" w:cs="Times New Roman"/>
          <w:sz w:val="24"/>
          <w:szCs w:val="24"/>
        </w:rPr>
        <w:t xml:space="preserve"> (cioè “</w:t>
      </w:r>
      <w:r w:rsidRPr="006437FF">
        <w:rPr>
          <w:rFonts w:ascii="Times New Roman" w:hAnsi="Times New Roman" w:cs="Times New Roman"/>
          <w:i/>
          <w:iCs/>
          <w:sz w:val="24"/>
          <w:szCs w:val="24"/>
        </w:rPr>
        <w:t>… fermi restando i principi generali dell’ordinamento giuridico-contabile. A tal fine sono assicurati criteri di trasparenza e adeguate forme di pubblicità per acquisire e valutare concorrenti proposte di acquisto, da definire con regolamento dell</w:t>
      </w:r>
      <w:r w:rsidR="000D2819" w:rsidRPr="006437FF">
        <w:rPr>
          <w:rFonts w:ascii="Times New Roman" w:hAnsi="Times New Roman" w:cs="Times New Roman"/>
          <w:i/>
          <w:iCs/>
          <w:sz w:val="24"/>
          <w:szCs w:val="24"/>
        </w:rPr>
        <w:t>’</w:t>
      </w:r>
      <w:r w:rsidRPr="006437FF">
        <w:rPr>
          <w:rFonts w:ascii="Times New Roman" w:hAnsi="Times New Roman" w:cs="Times New Roman"/>
          <w:i/>
          <w:iCs/>
          <w:sz w:val="24"/>
          <w:szCs w:val="24"/>
        </w:rPr>
        <w:t>ente interessato</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 xml:space="preserve">, </w:t>
      </w:r>
      <w:r w:rsidR="00F45EA4" w:rsidRPr="006437FF">
        <w:rPr>
          <w:rFonts w:ascii="Times New Roman" w:hAnsi="Times New Roman" w:cs="Times New Roman"/>
          <w:sz w:val="24"/>
          <w:szCs w:val="24"/>
          <w:u w:val="single"/>
        </w:rPr>
        <w:t>condizionando sospensivamente</w:t>
      </w:r>
      <w:r w:rsidR="00F45EA4" w:rsidRPr="006437FF">
        <w:rPr>
          <w:rFonts w:ascii="Times New Roman" w:hAnsi="Times New Roman" w:cs="Times New Roman"/>
          <w:sz w:val="24"/>
          <w:szCs w:val="24"/>
        </w:rPr>
        <w:t xml:space="preserve"> il contratto alla </w:t>
      </w:r>
      <w:r w:rsidR="00F45EA4" w:rsidRPr="006437FF">
        <w:rPr>
          <w:rFonts w:ascii="Times New Roman" w:hAnsi="Times New Roman" w:cs="Times New Roman"/>
          <w:sz w:val="24"/>
          <w:szCs w:val="24"/>
          <w:u w:val="single"/>
        </w:rPr>
        <w:t>effettiva rimozione delle opere abusive</w:t>
      </w:r>
      <w:r w:rsidR="00F45EA4" w:rsidRPr="006437FF">
        <w:rPr>
          <w:rFonts w:ascii="Times New Roman" w:hAnsi="Times New Roman" w:cs="Times New Roman"/>
          <w:sz w:val="24"/>
          <w:szCs w:val="24"/>
        </w:rPr>
        <w:t xml:space="preserve"> da parte dell</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 xml:space="preserve">acquirente. È </w:t>
      </w:r>
      <w:r w:rsidR="00F45EA4" w:rsidRPr="006437FF">
        <w:rPr>
          <w:rFonts w:ascii="Times New Roman" w:hAnsi="Times New Roman" w:cs="Times New Roman"/>
          <w:sz w:val="24"/>
          <w:szCs w:val="24"/>
          <w:u w:val="single"/>
        </w:rPr>
        <w:t>preclusa</w:t>
      </w:r>
      <w:r w:rsidR="00F45EA4" w:rsidRPr="006437FF">
        <w:rPr>
          <w:rFonts w:ascii="Times New Roman" w:hAnsi="Times New Roman" w:cs="Times New Roman"/>
          <w:sz w:val="24"/>
          <w:szCs w:val="24"/>
        </w:rPr>
        <w:t xml:space="preserve"> la partecipazione del responsabile dell</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abuso alla procedura di alienazione. Il valore venale dell</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immobile è determinato dai competenti uffici dell</w:t>
      </w:r>
      <w:r w:rsidRPr="006437FF">
        <w:rPr>
          <w:rFonts w:ascii="Times New Roman" w:hAnsi="Times New Roman" w:cs="Times New Roman"/>
          <w:sz w:val="24"/>
          <w:szCs w:val="24"/>
        </w:rPr>
        <w:t>’</w:t>
      </w:r>
      <w:r w:rsidR="00F45EA4" w:rsidRPr="006437FF">
        <w:rPr>
          <w:rFonts w:ascii="Times New Roman" w:hAnsi="Times New Roman" w:cs="Times New Roman"/>
          <w:sz w:val="24"/>
          <w:szCs w:val="24"/>
        </w:rPr>
        <w:t>Agenzia delle entrate tenendo conto dei costi per la rimozione delle opere abusive</w:t>
      </w:r>
      <w:r w:rsidRPr="006437FF">
        <w:rPr>
          <w:rFonts w:ascii="Times New Roman" w:hAnsi="Times New Roman" w:cs="Times New Roman"/>
          <w:sz w:val="24"/>
          <w:szCs w:val="24"/>
        </w:rPr>
        <w:t>.</w:t>
      </w:r>
    </w:p>
    <w:p w14:paraId="397DDF04" w14:textId="775C3F7F" w:rsidR="00664164" w:rsidRDefault="006437FF" w:rsidP="00664164">
      <w:pPr>
        <w:rPr>
          <w:rFonts w:ascii="Times New Roman" w:hAnsi="Times New Roman" w:cs="Times New Roman"/>
          <w:sz w:val="24"/>
          <w:szCs w:val="24"/>
        </w:rPr>
      </w:pPr>
      <w:r>
        <w:rPr>
          <w:rFonts w:ascii="Times New Roman" w:hAnsi="Times New Roman" w:cs="Times New Roman"/>
          <w:sz w:val="24"/>
          <w:szCs w:val="24"/>
        </w:rPr>
        <w:t>In quest’ultima ipotesi, la</w:t>
      </w:r>
      <w:r w:rsidR="00725261">
        <w:rPr>
          <w:rFonts w:ascii="Times New Roman" w:hAnsi="Times New Roman" w:cs="Times New Roman"/>
          <w:sz w:val="24"/>
          <w:szCs w:val="24"/>
        </w:rPr>
        <w:t xml:space="preserve"> legge dice chiaramente che </w:t>
      </w:r>
      <w:r w:rsidR="00B43F81">
        <w:rPr>
          <w:rFonts w:ascii="Times New Roman" w:hAnsi="Times New Roman" w:cs="Times New Roman"/>
          <w:sz w:val="24"/>
          <w:szCs w:val="24"/>
        </w:rPr>
        <w:t xml:space="preserve">il </w:t>
      </w:r>
      <w:r w:rsidR="00B43F81" w:rsidRPr="00F45EA4">
        <w:rPr>
          <w:rFonts w:ascii="Times New Roman" w:hAnsi="Times New Roman" w:cs="Times New Roman"/>
          <w:sz w:val="24"/>
          <w:szCs w:val="24"/>
        </w:rPr>
        <w:t>responsabile dell</w:t>
      </w:r>
      <w:r w:rsidR="00B43F81">
        <w:rPr>
          <w:rFonts w:ascii="Times New Roman" w:hAnsi="Times New Roman" w:cs="Times New Roman"/>
          <w:sz w:val="24"/>
          <w:szCs w:val="24"/>
        </w:rPr>
        <w:t>’</w:t>
      </w:r>
      <w:r w:rsidR="00B43F81" w:rsidRPr="00F45EA4">
        <w:rPr>
          <w:rFonts w:ascii="Times New Roman" w:hAnsi="Times New Roman" w:cs="Times New Roman"/>
          <w:sz w:val="24"/>
          <w:szCs w:val="24"/>
        </w:rPr>
        <w:t>abuso</w:t>
      </w:r>
      <w:r w:rsidR="00725261">
        <w:rPr>
          <w:rFonts w:ascii="Times New Roman" w:hAnsi="Times New Roman" w:cs="Times New Roman"/>
          <w:sz w:val="24"/>
          <w:szCs w:val="24"/>
        </w:rPr>
        <w:t xml:space="preserve"> edilizio non può </w:t>
      </w:r>
      <w:r w:rsidR="00664164">
        <w:rPr>
          <w:rFonts w:ascii="Times New Roman" w:hAnsi="Times New Roman" w:cs="Times New Roman"/>
          <w:sz w:val="24"/>
          <w:szCs w:val="24"/>
        </w:rPr>
        <w:t>partecipare alla procedura di alienazione, quindi non può comprarlo dal Comune: d</w:t>
      </w:r>
      <w:r w:rsidR="00725261">
        <w:rPr>
          <w:rFonts w:ascii="Times New Roman" w:hAnsi="Times New Roman" w:cs="Times New Roman"/>
          <w:sz w:val="24"/>
          <w:szCs w:val="24"/>
        </w:rPr>
        <w:t>al punto di vista del diritto civile, è questa un’ipotesi di incapacità giuridica speciale? E/o di vendita nulla per violazione di norma imperativa?</w:t>
      </w:r>
      <w:r>
        <w:rPr>
          <w:rFonts w:ascii="Times New Roman" w:hAnsi="Times New Roman" w:cs="Times New Roman"/>
          <w:sz w:val="24"/>
          <w:szCs w:val="24"/>
        </w:rPr>
        <w:t xml:space="preserve"> </w:t>
      </w:r>
      <w:r w:rsidR="00664164">
        <w:rPr>
          <w:rFonts w:ascii="Times New Roman" w:hAnsi="Times New Roman" w:cs="Times New Roman"/>
          <w:sz w:val="24"/>
          <w:szCs w:val="24"/>
        </w:rPr>
        <w:t>Inoltre, poiché il divieto si riferisce solo al responsabile dell’abuso, il proprietario incolpevole ha invece titolo per ri-comprare quanto era suo, prima dell’acquisizione gratuita al patrimonio comunale?</w:t>
      </w:r>
    </w:p>
    <w:p w14:paraId="24F1814D" w14:textId="5301EE63" w:rsidR="000E1F83" w:rsidRPr="000E1F83" w:rsidRDefault="000E1F83" w:rsidP="00664164">
      <w:pPr>
        <w:rPr>
          <w:rFonts w:ascii="Times New Roman" w:hAnsi="Times New Roman" w:cs="Times New Roman"/>
          <w:color w:val="00B0F0"/>
          <w:sz w:val="24"/>
          <w:szCs w:val="24"/>
        </w:rPr>
      </w:pPr>
      <w:r>
        <w:rPr>
          <w:rFonts w:ascii="Times New Roman" w:hAnsi="Times New Roman" w:cs="Times New Roman"/>
          <w:color w:val="00B0F0"/>
          <w:sz w:val="24"/>
          <w:szCs w:val="24"/>
        </w:rPr>
        <w:t xml:space="preserve">È stato osservato che la riforma, nei fatti, introduce nuovi oneri procedimentali che potrebbero ulteriormente gravare il lavoro degli Uffici comunali, ma anche gli adempimenti che i privati dovranno tenere sott’occhio. </w:t>
      </w:r>
    </w:p>
    <w:p w14:paraId="6C276759" w14:textId="53C6B5FE" w:rsidR="00E81370" w:rsidRPr="00F45EA4" w:rsidRDefault="00E81370" w:rsidP="00725261">
      <w:pPr>
        <w:rPr>
          <w:rFonts w:ascii="Times New Roman" w:hAnsi="Times New Roman" w:cs="Times New Roman"/>
          <w:sz w:val="24"/>
          <w:szCs w:val="24"/>
        </w:rPr>
      </w:pPr>
      <w:r>
        <w:rPr>
          <w:rFonts w:ascii="Times New Roman" w:hAnsi="Times New Roman" w:cs="Times New Roman"/>
          <w:b/>
          <w:bCs/>
          <w:sz w:val="24"/>
          <w:szCs w:val="24"/>
        </w:rPr>
        <w:t>3</w:t>
      </w:r>
      <w:r w:rsidRPr="00274958">
        <w:rPr>
          <w:rFonts w:ascii="Times New Roman" w:hAnsi="Times New Roman" w:cs="Times New Roman"/>
          <w:b/>
          <w:bCs/>
          <w:sz w:val="24"/>
          <w:szCs w:val="24"/>
        </w:rPr>
        <w:t xml:space="preserve">. </w:t>
      </w:r>
      <w:r w:rsidRPr="00274958">
        <w:rPr>
          <w:rFonts w:ascii="Times New Roman" w:hAnsi="Times New Roman" w:cs="Times New Roman"/>
          <w:b/>
          <w:bCs/>
          <w:i/>
          <w:iCs/>
          <w:sz w:val="24"/>
          <w:szCs w:val="24"/>
        </w:rPr>
        <w:t xml:space="preserve">Le novelle all’art. </w:t>
      </w:r>
      <w:r>
        <w:rPr>
          <w:rFonts w:ascii="Times New Roman" w:hAnsi="Times New Roman" w:cs="Times New Roman"/>
          <w:b/>
          <w:bCs/>
          <w:i/>
          <w:iCs/>
          <w:sz w:val="24"/>
          <w:szCs w:val="24"/>
        </w:rPr>
        <w:t>32</w:t>
      </w:r>
      <w:r w:rsidRPr="00274958">
        <w:rPr>
          <w:rFonts w:ascii="Times New Roman" w:hAnsi="Times New Roman" w:cs="Times New Roman"/>
          <w:b/>
          <w:bCs/>
          <w:i/>
          <w:iCs/>
          <w:sz w:val="24"/>
          <w:szCs w:val="24"/>
        </w:rPr>
        <w:t xml:space="preserve"> T.U. edilizia</w:t>
      </w:r>
      <w:r>
        <w:rPr>
          <w:rFonts w:ascii="Times New Roman" w:hAnsi="Times New Roman" w:cs="Times New Roman"/>
          <w:b/>
          <w:bCs/>
          <w:i/>
          <w:iCs/>
          <w:sz w:val="24"/>
          <w:szCs w:val="24"/>
        </w:rPr>
        <w:t xml:space="preserve">: </w:t>
      </w:r>
      <w:r>
        <w:rPr>
          <w:rFonts w:ascii="Times New Roman" w:hAnsi="Times New Roman" w:cs="Times New Roman"/>
          <w:b/>
          <w:bCs/>
          <w:color w:val="FF0000"/>
          <w:sz w:val="24"/>
          <w:szCs w:val="24"/>
        </w:rPr>
        <w:t>PARZIALE DIFFORMITÀ DAL P.D.C. IN IMMOBILI VINCOLATI</w:t>
      </w:r>
    </w:p>
    <w:p w14:paraId="14556227" w14:textId="7AE93654" w:rsidR="00E81370" w:rsidRDefault="00E81370" w:rsidP="00091726">
      <w:pPr>
        <w:rPr>
          <w:rFonts w:ascii="Times New Roman" w:hAnsi="Times New Roman" w:cs="Times New Roman"/>
          <w:sz w:val="24"/>
          <w:szCs w:val="24"/>
        </w:rPr>
      </w:pPr>
      <w:r>
        <w:rPr>
          <w:rFonts w:ascii="Times New Roman" w:hAnsi="Times New Roman" w:cs="Times New Roman"/>
          <w:sz w:val="24"/>
          <w:szCs w:val="24"/>
        </w:rPr>
        <w:t xml:space="preserve">Nel nostro ordinamento, </w:t>
      </w:r>
      <w:r w:rsidR="00BD453D">
        <w:rPr>
          <w:rFonts w:ascii="Times New Roman" w:hAnsi="Times New Roman" w:cs="Times New Roman"/>
          <w:sz w:val="24"/>
          <w:szCs w:val="24"/>
        </w:rPr>
        <w:t xml:space="preserve">le </w:t>
      </w:r>
      <w:r w:rsidR="00BD453D" w:rsidRPr="00BD453D">
        <w:rPr>
          <w:rFonts w:ascii="Times New Roman" w:hAnsi="Times New Roman" w:cs="Times New Roman"/>
          <w:b/>
          <w:bCs/>
          <w:sz w:val="24"/>
          <w:szCs w:val="24"/>
        </w:rPr>
        <w:t>variazioni essenziali</w:t>
      </w:r>
      <w:r w:rsidR="00BD453D">
        <w:rPr>
          <w:rFonts w:ascii="Times New Roman" w:hAnsi="Times New Roman" w:cs="Times New Roman"/>
          <w:sz w:val="24"/>
          <w:szCs w:val="24"/>
        </w:rPr>
        <w:t xml:space="preserve"> dal progetto approvato</w:t>
      </w:r>
      <w:r w:rsidR="00455174">
        <w:rPr>
          <w:rFonts w:ascii="Times New Roman" w:hAnsi="Times New Roman" w:cs="Times New Roman"/>
          <w:sz w:val="24"/>
          <w:szCs w:val="24"/>
        </w:rPr>
        <w:t xml:space="preserve"> con PdC</w:t>
      </w:r>
      <w:r w:rsidR="00BD453D">
        <w:rPr>
          <w:rFonts w:ascii="Times New Roman" w:hAnsi="Times New Roman" w:cs="Times New Roman"/>
          <w:sz w:val="24"/>
          <w:szCs w:val="24"/>
        </w:rPr>
        <w:t xml:space="preserve"> risultano dal combinato disposto dell’art. 32, co. 1 T.U. edilizia e dalle leggi regionali in materia.</w:t>
      </w:r>
    </w:p>
    <w:p w14:paraId="22F4B6D4" w14:textId="619824A5" w:rsidR="00BD453D" w:rsidRDefault="005C2134" w:rsidP="00091726">
      <w:pPr>
        <w:rPr>
          <w:rFonts w:ascii="Times New Roman" w:hAnsi="Times New Roman" w:cs="Times New Roman"/>
          <w:sz w:val="24"/>
          <w:szCs w:val="24"/>
        </w:rPr>
      </w:pPr>
      <w:r>
        <w:rPr>
          <w:rFonts w:ascii="Times New Roman" w:hAnsi="Times New Roman" w:cs="Times New Roman"/>
          <w:sz w:val="24"/>
          <w:szCs w:val="24"/>
        </w:rPr>
        <w:t xml:space="preserve">L’art. 32, co. 3, I periodo T.U. edilizia </w:t>
      </w:r>
      <w:r w:rsidR="00BD453D">
        <w:rPr>
          <w:rFonts w:ascii="Times New Roman" w:hAnsi="Times New Roman" w:cs="Times New Roman"/>
          <w:sz w:val="24"/>
          <w:szCs w:val="24"/>
        </w:rPr>
        <w:t xml:space="preserve">introduce una </w:t>
      </w:r>
      <w:r w:rsidR="00BD453D">
        <w:rPr>
          <w:rFonts w:ascii="Times New Roman" w:hAnsi="Times New Roman" w:cs="Times New Roman"/>
          <w:i/>
          <w:iCs/>
          <w:sz w:val="24"/>
          <w:szCs w:val="24"/>
        </w:rPr>
        <w:t>fictio iuris</w:t>
      </w:r>
      <w:r w:rsidR="00BD453D">
        <w:rPr>
          <w:rFonts w:ascii="Times New Roman" w:hAnsi="Times New Roman" w:cs="Times New Roman"/>
          <w:sz w:val="24"/>
          <w:szCs w:val="24"/>
        </w:rPr>
        <w:t xml:space="preserve">, per rendere più grave </w:t>
      </w:r>
      <w:r w:rsidR="00703ED6">
        <w:rPr>
          <w:rFonts w:ascii="Times New Roman" w:hAnsi="Times New Roman" w:cs="Times New Roman"/>
          <w:sz w:val="24"/>
          <w:szCs w:val="24"/>
        </w:rPr>
        <w:t xml:space="preserve">tale </w:t>
      </w:r>
      <w:r w:rsidR="00BD453D">
        <w:rPr>
          <w:rFonts w:ascii="Times New Roman" w:hAnsi="Times New Roman" w:cs="Times New Roman"/>
          <w:sz w:val="24"/>
          <w:szCs w:val="24"/>
        </w:rPr>
        <w:t xml:space="preserve">illecito </w:t>
      </w:r>
      <w:r w:rsidR="00703ED6">
        <w:rPr>
          <w:rFonts w:ascii="Times New Roman" w:hAnsi="Times New Roman" w:cs="Times New Roman"/>
          <w:sz w:val="24"/>
          <w:szCs w:val="24"/>
        </w:rPr>
        <w:t xml:space="preserve">se </w:t>
      </w:r>
      <w:r w:rsidR="00703ED6" w:rsidRPr="00703ED6">
        <w:rPr>
          <w:rFonts w:ascii="Times New Roman" w:hAnsi="Times New Roman" w:cs="Times New Roman"/>
          <w:sz w:val="24"/>
          <w:szCs w:val="24"/>
          <w:u w:val="single"/>
        </w:rPr>
        <w:t>c</w:t>
      </w:r>
      <w:r w:rsidR="00BD453D" w:rsidRPr="00703ED6">
        <w:rPr>
          <w:rFonts w:ascii="Times New Roman" w:hAnsi="Times New Roman" w:cs="Times New Roman"/>
          <w:sz w:val="24"/>
          <w:szCs w:val="24"/>
          <w:u w:val="single"/>
        </w:rPr>
        <w:t>ommess</w:t>
      </w:r>
      <w:r w:rsidR="00703ED6">
        <w:rPr>
          <w:rFonts w:ascii="Times New Roman" w:hAnsi="Times New Roman" w:cs="Times New Roman"/>
          <w:sz w:val="24"/>
          <w:szCs w:val="24"/>
          <w:u w:val="single"/>
        </w:rPr>
        <w:t>o</w:t>
      </w:r>
      <w:r w:rsidR="00BD453D" w:rsidRPr="00703ED6">
        <w:rPr>
          <w:rFonts w:ascii="Times New Roman" w:hAnsi="Times New Roman" w:cs="Times New Roman"/>
          <w:sz w:val="24"/>
          <w:szCs w:val="24"/>
          <w:u w:val="single"/>
        </w:rPr>
        <w:t xml:space="preserve"> in un immobile vincolato</w:t>
      </w:r>
      <w:r>
        <w:rPr>
          <w:rFonts w:ascii="Times New Roman" w:hAnsi="Times New Roman" w:cs="Times New Roman"/>
          <w:sz w:val="24"/>
          <w:szCs w:val="24"/>
        </w:rPr>
        <w:t xml:space="preserve">: </w:t>
      </w:r>
      <w:r w:rsidR="00BD453D">
        <w:rPr>
          <w:rFonts w:ascii="Times New Roman" w:hAnsi="Times New Roman" w:cs="Times New Roman"/>
          <w:sz w:val="24"/>
          <w:szCs w:val="24"/>
        </w:rPr>
        <w:t>gli interventi in variazione essenziale dal titolo</w:t>
      </w:r>
      <w:r w:rsidR="00BD453D" w:rsidRPr="00BD453D">
        <w:rPr>
          <w:rFonts w:ascii="Times New Roman" w:hAnsi="Times New Roman" w:cs="Times New Roman"/>
          <w:sz w:val="24"/>
          <w:szCs w:val="24"/>
        </w:rPr>
        <w:t xml:space="preserve">, effettuati su immobili sottoposti a vincolo storico, artistico, architettonico, archeologico, paesistico, ambientale e idrogeologico, nonché su immobili ricadenti sui parchi o in aree protette nazionali e regionali, sono considerati in </w:t>
      </w:r>
      <w:r w:rsidR="00BD453D" w:rsidRPr="00BD453D">
        <w:rPr>
          <w:rFonts w:ascii="Times New Roman" w:hAnsi="Times New Roman" w:cs="Times New Roman"/>
          <w:sz w:val="24"/>
          <w:szCs w:val="24"/>
          <w:u w:val="single"/>
        </w:rPr>
        <w:t>totale difformità</w:t>
      </w:r>
      <w:r w:rsidR="00BD453D" w:rsidRPr="00BD453D">
        <w:rPr>
          <w:rFonts w:ascii="Times New Roman" w:hAnsi="Times New Roman" w:cs="Times New Roman"/>
          <w:sz w:val="24"/>
          <w:szCs w:val="24"/>
        </w:rPr>
        <w:t xml:space="preserve"> dal permesso, ai sensi e per gli effetti degli art</w:t>
      </w:r>
      <w:r w:rsidR="00BD453D">
        <w:rPr>
          <w:rFonts w:ascii="Times New Roman" w:hAnsi="Times New Roman" w:cs="Times New Roman"/>
          <w:sz w:val="24"/>
          <w:szCs w:val="24"/>
        </w:rPr>
        <w:t>t.</w:t>
      </w:r>
      <w:r w:rsidR="00BD453D" w:rsidRPr="00BD453D">
        <w:rPr>
          <w:rFonts w:ascii="Times New Roman" w:hAnsi="Times New Roman" w:cs="Times New Roman"/>
          <w:sz w:val="24"/>
          <w:szCs w:val="24"/>
        </w:rPr>
        <w:t xml:space="preserve"> 31 e 44</w:t>
      </w:r>
      <w:r w:rsidR="00BD453D">
        <w:rPr>
          <w:rFonts w:ascii="Times New Roman" w:hAnsi="Times New Roman" w:cs="Times New Roman"/>
          <w:sz w:val="24"/>
          <w:szCs w:val="24"/>
        </w:rPr>
        <w:t xml:space="preserve"> T.U. edilizia</w:t>
      </w:r>
      <w:r w:rsidR="00A32C53">
        <w:rPr>
          <w:rFonts w:ascii="Times New Roman" w:hAnsi="Times New Roman" w:cs="Times New Roman"/>
          <w:sz w:val="24"/>
          <w:szCs w:val="24"/>
        </w:rPr>
        <w:t xml:space="preserve"> (che ne definiscono, rispettivamente, le conseguenze amministrative e penali)</w:t>
      </w:r>
      <w:r w:rsidR="00BD453D" w:rsidRPr="00BD453D">
        <w:rPr>
          <w:rFonts w:ascii="Times New Roman" w:hAnsi="Times New Roman" w:cs="Times New Roman"/>
          <w:sz w:val="24"/>
          <w:szCs w:val="24"/>
        </w:rPr>
        <w:t>.</w:t>
      </w:r>
    </w:p>
    <w:p w14:paraId="60DBF0F7" w14:textId="158AB458" w:rsidR="00BD453D" w:rsidRDefault="00BD453D" w:rsidP="00091726">
      <w:pPr>
        <w:rPr>
          <w:rFonts w:ascii="Times New Roman" w:hAnsi="Times New Roman" w:cs="Times New Roman"/>
          <w:sz w:val="24"/>
          <w:szCs w:val="24"/>
        </w:rPr>
      </w:pPr>
      <w:r>
        <w:rPr>
          <w:rFonts w:ascii="Times New Roman" w:hAnsi="Times New Roman" w:cs="Times New Roman"/>
          <w:sz w:val="24"/>
          <w:szCs w:val="24"/>
        </w:rPr>
        <w:t xml:space="preserve">La l. 105/2024 ha </w:t>
      </w:r>
      <w:r w:rsidRPr="00BD453D">
        <w:rPr>
          <w:rFonts w:ascii="Times New Roman" w:hAnsi="Times New Roman" w:cs="Times New Roman"/>
          <w:sz w:val="24"/>
          <w:szCs w:val="24"/>
          <w:u w:val="single"/>
        </w:rPr>
        <w:t>abrogato</w:t>
      </w:r>
      <w:r>
        <w:rPr>
          <w:rFonts w:ascii="Times New Roman" w:hAnsi="Times New Roman" w:cs="Times New Roman"/>
          <w:sz w:val="24"/>
          <w:szCs w:val="24"/>
        </w:rPr>
        <w:t xml:space="preserve"> il II periodo </w:t>
      </w:r>
      <w:r w:rsidR="00D07EA9">
        <w:rPr>
          <w:rFonts w:ascii="Times New Roman" w:hAnsi="Times New Roman" w:cs="Times New Roman"/>
          <w:sz w:val="24"/>
          <w:szCs w:val="24"/>
        </w:rPr>
        <w:t>del previgente</w:t>
      </w:r>
      <w:r>
        <w:rPr>
          <w:rFonts w:ascii="Times New Roman" w:hAnsi="Times New Roman" w:cs="Times New Roman"/>
          <w:sz w:val="24"/>
          <w:szCs w:val="24"/>
        </w:rPr>
        <w:t xml:space="preserve"> art. 32, co. 3, il quale recitava: “</w:t>
      </w:r>
      <w:r w:rsidRPr="00BD453D">
        <w:rPr>
          <w:rFonts w:ascii="Times New Roman" w:hAnsi="Times New Roman" w:cs="Times New Roman"/>
          <w:i/>
          <w:iCs/>
          <w:sz w:val="24"/>
          <w:szCs w:val="24"/>
        </w:rPr>
        <w:t>Tutti gli altri interventi sui medesimi immobili sono considerati variazioni essenziali</w:t>
      </w:r>
      <w:r>
        <w:rPr>
          <w:rFonts w:ascii="Times New Roman" w:hAnsi="Times New Roman" w:cs="Times New Roman"/>
          <w:sz w:val="24"/>
          <w:szCs w:val="24"/>
        </w:rPr>
        <w:t>”.</w:t>
      </w:r>
    </w:p>
    <w:p w14:paraId="3A595226" w14:textId="4A51EC7F" w:rsidR="00BD453D" w:rsidRDefault="00BD453D" w:rsidP="00091726">
      <w:pPr>
        <w:rPr>
          <w:rFonts w:ascii="Times New Roman" w:hAnsi="Times New Roman" w:cs="Times New Roman"/>
          <w:sz w:val="24"/>
          <w:szCs w:val="24"/>
        </w:rPr>
      </w:pPr>
      <w:r>
        <w:rPr>
          <w:rFonts w:ascii="Times New Roman" w:hAnsi="Times New Roman" w:cs="Times New Roman"/>
          <w:sz w:val="24"/>
          <w:szCs w:val="24"/>
        </w:rPr>
        <w:t xml:space="preserve">Ciò significa che, ad oggi, le </w:t>
      </w:r>
      <w:r w:rsidRPr="00BD453D">
        <w:rPr>
          <w:rFonts w:ascii="Times New Roman" w:hAnsi="Times New Roman" w:cs="Times New Roman"/>
          <w:sz w:val="24"/>
          <w:szCs w:val="24"/>
          <w:u w:val="single"/>
        </w:rPr>
        <w:t>parziali difformità</w:t>
      </w:r>
      <w:r>
        <w:rPr>
          <w:rFonts w:ascii="Times New Roman" w:hAnsi="Times New Roman" w:cs="Times New Roman"/>
          <w:sz w:val="24"/>
          <w:szCs w:val="24"/>
        </w:rPr>
        <w:t xml:space="preserve"> dal titolo commesse in un immobile vincolato seguono lo stesso identico regime sanzionatorio (e di fiscalizzazione o sanabilità) previsto per le parziali difformità in immobili non soggetti ad alcun vincolo.</w:t>
      </w:r>
    </w:p>
    <w:p w14:paraId="2D0920CC" w14:textId="2C688899" w:rsidR="0072074F" w:rsidRPr="00274958" w:rsidRDefault="0072074F" w:rsidP="00091726">
      <w:pPr>
        <w:rPr>
          <w:rFonts w:ascii="Times New Roman" w:hAnsi="Times New Roman" w:cs="Times New Roman"/>
          <w:sz w:val="24"/>
          <w:szCs w:val="24"/>
        </w:rPr>
      </w:pPr>
      <w:r w:rsidRPr="00274958">
        <w:rPr>
          <w:rFonts w:ascii="Times New Roman" w:hAnsi="Times New Roman" w:cs="Times New Roman"/>
          <w:sz w:val="24"/>
          <w:szCs w:val="24"/>
        </w:rPr>
        <w:lastRenderedPageBreak/>
        <w:t xml:space="preserve">Malo (VI), </w:t>
      </w:r>
      <w:r w:rsidR="00A26348">
        <w:rPr>
          <w:rFonts w:ascii="Times New Roman" w:hAnsi="Times New Roman" w:cs="Times New Roman"/>
          <w:sz w:val="24"/>
          <w:szCs w:val="24"/>
        </w:rPr>
        <w:t>11</w:t>
      </w:r>
      <w:r w:rsidRPr="00274958">
        <w:rPr>
          <w:rFonts w:ascii="Times New Roman" w:hAnsi="Times New Roman" w:cs="Times New Roman"/>
          <w:sz w:val="24"/>
          <w:szCs w:val="24"/>
        </w:rPr>
        <w:t xml:space="preserve"> settembre 2024</w:t>
      </w:r>
    </w:p>
    <w:p w14:paraId="0740C76F" w14:textId="57EA6752" w:rsidR="0072074F" w:rsidRPr="00274958" w:rsidRDefault="0072074F" w:rsidP="00A2460D">
      <w:pPr>
        <w:rPr>
          <w:rFonts w:ascii="Times New Roman" w:hAnsi="Times New Roman" w:cs="Times New Roman"/>
          <w:i/>
          <w:iCs/>
          <w:sz w:val="24"/>
          <w:szCs w:val="24"/>
        </w:rPr>
      </w:pPr>
      <w:r w:rsidRPr="00274958">
        <w:rPr>
          <w:rFonts w:ascii="Times New Roman" w:hAnsi="Times New Roman" w:cs="Times New Roman"/>
          <w:sz w:val="24"/>
          <w:szCs w:val="24"/>
        </w:rPr>
        <w:t xml:space="preserve">Per </w:t>
      </w:r>
      <w:r w:rsidRPr="00660096">
        <w:rPr>
          <w:rFonts w:ascii="Times New Roman" w:hAnsi="Times New Roman" w:cs="Times New Roman"/>
          <w:i/>
          <w:iCs/>
          <w:sz w:val="24"/>
          <w:szCs w:val="24"/>
        </w:rPr>
        <w:t>www.italiaius.it</w:t>
      </w:r>
    </w:p>
    <w:p w14:paraId="449477E0" w14:textId="30D4300E" w:rsidR="0072074F" w:rsidRDefault="0072074F" w:rsidP="00A2460D">
      <w:pPr>
        <w:rPr>
          <w:rFonts w:ascii="Times New Roman" w:hAnsi="Times New Roman" w:cs="Times New Roman"/>
          <w:sz w:val="24"/>
          <w:szCs w:val="24"/>
        </w:rPr>
      </w:pPr>
      <w:r w:rsidRPr="00274958">
        <w:rPr>
          <w:rFonts w:ascii="Times New Roman" w:hAnsi="Times New Roman" w:cs="Times New Roman"/>
          <w:sz w:val="24"/>
          <w:szCs w:val="24"/>
        </w:rPr>
        <w:t>Avv. Alberto Antico</w:t>
      </w:r>
    </w:p>
    <w:p w14:paraId="3BBBCBB4" w14:textId="28B58FCE" w:rsidR="00091726" w:rsidRDefault="00091726" w:rsidP="00A2460D">
      <w:pPr>
        <w:rPr>
          <w:rFonts w:ascii="Times New Roman" w:hAnsi="Times New Roman" w:cs="Times New Roman"/>
          <w:sz w:val="24"/>
          <w:szCs w:val="24"/>
        </w:rPr>
      </w:pPr>
      <w:r>
        <w:rPr>
          <w:rFonts w:ascii="Times New Roman" w:hAnsi="Times New Roman" w:cs="Times New Roman"/>
          <w:sz w:val="24"/>
          <w:szCs w:val="24"/>
        </w:rPr>
        <w:t>Avv. Matteo Acquasaliente</w:t>
      </w:r>
    </w:p>
    <w:p w14:paraId="25E6C6A6" w14:textId="5A371E76" w:rsidR="00091726" w:rsidRDefault="00091726" w:rsidP="00A2460D">
      <w:pPr>
        <w:rPr>
          <w:rFonts w:ascii="Times New Roman" w:hAnsi="Times New Roman" w:cs="Times New Roman"/>
          <w:sz w:val="24"/>
          <w:szCs w:val="24"/>
        </w:rPr>
      </w:pPr>
      <w:r>
        <w:rPr>
          <w:rFonts w:ascii="Times New Roman" w:hAnsi="Times New Roman" w:cs="Times New Roman"/>
          <w:sz w:val="24"/>
          <w:szCs w:val="24"/>
        </w:rPr>
        <w:t>Avv. Alessandra Piola</w:t>
      </w:r>
    </w:p>
    <w:p w14:paraId="66B37DB9" w14:textId="69AEDBE9" w:rsidR="00091726" w:rsidRPr="00274958" w:rsidRDefault="00091726" w:rsidP="00A2460D">
      <w:pPr>
        <w:rPr>
          <w:rFonts w:ascii="Times New Roman" w:hAnsi="Times New Roman" w:cs="Times New Roman"/>
          <w:sz w:val="24"/>
          <w:szCs w:val="24"/>
        </w:rPr>
      </w:pPr>
      <w:r>
        <w:rPr>
          <w:rFonts w:ascii="Times New Roman" w:hAnsi="Times New Roman" w:cs="Times New Roman"/>
          <w:sz w:val="24"/>
          <w:szCs w:val="24"/>
        </w:rPr>
        <w:t>Avv. Dario Meneguzzo</w:t>
      </w:r>
    </w:p>
    <w:sectPr w:rsidR="00091726" w:rsidRPr="002749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5DF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CA5873"/>
    <w:multiLevelType w:val="hybridMultilevel"/>
    <w:tmpl w:val="1A5A6F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FF5A2A"/>
    <w:multiLevelType w:val="hybridMultilevel"/>
    <w:tmpl w:val="D8EEC8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823843"/>
    <w:multiLevelType w:val="hybridMultilevel"/>
    <w:tmpl w:val="B4A230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FC1E72"/>
    <w:multiLevelType w:val="hybridMultilevel"/>
    <w:tmpl w:val="22CC65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34524C"/>
    <w:multiLevelType w:val="hybridMultilevel"/>
    <w:tmpl w:val="CED4196E"/>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6" w15:restartNumberingAfterBreak="0">
    <w:nsid w:val="4AE4614C"/>
    <w:multiLevelType w:val="hybridMultilevel"/>
    <w:tmpl w:val="F2A07E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8F7540"/>
    <w:multiLevelType w:val="hybridMultilevel"/>
    <w:tmpl w:val="BEFC81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606EDB"/>
    <w:multiLevelType w:val="hybridMultilevel"/>
    <w:tmpl w:val="DCD8F9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BD4866"/>
    <w:multiLevelType w:val="hybridMultilevel"/>
    <w:tmpl w:val="905813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6682762">
    <w:abstractNumId w:val="5"/>
  </w:num>
  <w:num w:numId="2" w16cid:durableId="1007906696">
    <w:abstractNumId w:val="1"/>
  </w:num>
  <w:num w:numId="3" w16cid:durableId="1270165690">
    <w:abstractNumId w:val="4"/>
  </w:num>
  <w:num w:numId="4" w16cid:durableId="1062288349">
    <w:abstractNumId w:val="7"/>
  </w:num>
  <w:num w:numId="5" w16cid:durableId="830489853">
    <w:abstractNumId w:val="8"/>
  </w:num>
  <w:num w:numId="6" w16cid:durableId="272631990">
    <w:abstractNumId w:val="9"/>
  </w:num>
  <w:num w:numId="7" w16cid:durableId="2041665220">
    <w:abstractNumId w:val="3"/>
  </w:num>
  <w:num w:numId="8" w16cid:durableId="346951748">
    <w:abstractNumId w:val="0"/>
  </w:num>
  <w:num w:numId="9" w16cid:durableId="1398938076">
    <w:abstractNumId w:val="6"/>
  </w:num>
  <w:num w:numId="10" w16cid:durableId="1750342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40"/>
    <w:rsid w:val="00056B3B"/>
    <w:rsid w:val="00091726"/>
    <w:rsid w:val="000B1AF7"/>
    <w:rsid w:val="000D2819"/>
    <w:rsid w:val="000D71CF"/>
    <w:rsid w:val="000E1F83"/>
    <w:rsid w:val="000F195D"/>
    <w:rsid w:val="00154C09"/>
    <w:rsid w:val="00184D11"/>
    <w:rsid w:val="00230E1A"/>
    <w:rsid w:val="00243B20"/>
    <w:rsid w:val="00274958"/>
    <w:rsid w:val="002D06D2"/>
    <w:rsid w:val="0038422B"/>
    <w:rsid w:val="00455174"/>
    <w:rsid w:val="004A2BF6"/>
    <w:rsid w:val="004F0DE2"/>
    <w:rsid w:val="005165DF"/>
    <w:rsid w:val="005330F2"/>
    <w:rsid w:val="005C2134"/>
    <w:rsid w:val="005F3D6A"/>
    <w:rsid w:val="00612B9F"/>
    <w:rsid w:val="0064356A"/>
    <w:rsid w:val="006437FF"/>
    <w:rsid w:val="00660096"/>
    <w:rsid w:val="00664164"/>
    <w:rsid w:val="00673837"/>
    <w:rsid w:val="00695B56"/>
    <w:rsid w:val="006B68DB"/>
    <w:rsid w:val="006D4440"/>
    <w:rsid w:val="00703ED6"/>
    <w:rsid w:val="0072074F"/>
    <w:rsid w:val="00725261"/>
    <w:rsid w:val="0073324A"/>
    <w:rsid w:val="007B3DEA"/>
    <w:rsid w:val="007C5CAD"/>
    <w:rsid w:val="00834B0D"/>
    <w:rsid w:val="008D48D7"/>
    <w:rsid w:val="008F04B2"/>
    <w:rsid w:val="009F383E"/>
    <w:rsid w:val="00A2460D"/>
    <w:rsid w:val="00A26348"/>
    <w:rsid w:val="00A32C53"/>
    <w:rsid w:val="00B00CF3"/>
    <w:rsid w:val="00B43F81"/>
    <w:rsid w:val="00BB56C1"/>
    <w:rsid w:val="00BD453D"/>
    <w:rsid w:val="00BF2884"/>
    <w:rsid w:val="00D07EA9"/>
    <w:rsid w:val="00D1280B"/>
    <w:rsid w:val="00D13212"/>
    <w:rsid w:val="00D434FA"/>
    <w:rsid w:val="00D720E1"/>
    <w:rsid w:val="00D91637"/>
    <w:rsid w:val="00DD0DF5"/>
    <w:rsid w:val="00DE02CC"/>
    <w:rsid w:val="00E07FF4"/>
    <w:rsid w:val="00E27270"/>
    <w:rsid w:val="00E35A00"/>
    <w:rsid w:val="00E36340"/>
    <w:rsid w:val="00E36C78"/>
    <w:rsid w:val="00E81370"/>
    <w:rsid w:val="00F45EA4"/>
    <w:rsid w:val="00FE65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F56A"/>
  <w15:chartTrackingRefBased/>
  <w15:docId w15:val="{7C49E7E6-C309-4E30-9762-F44F8E39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68DB"/>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F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2460D"/>
    <w:pPr>
      <w:ind w:left="720"/>
      <w:contextualSpacing/>
    </w:pPr>
  </w:style>
  <w:style w:type="character" w:styleId="Collegamentoipertestuale">
    <w:name w:val="Hyperlink"/>
    <w:basedOn w:val="Carpredefinitoparagrafo"/>
    <w:uiPriority w:val="99"/>
    <w:unhideWhenUsed/>
    <w:rsid w:val="0072074F"/>
    <w:rPr>
      <w:color w:val="0563C1" w:themeColor="hyperlink"/>
      <w:u w:val="single"/>
    </w:rPr>
  </w:style>
  <w:style w:type="character" w:styleId="Menzionenonrisolta">
    <w:name w:val="Unresolved Mention"/>
    <w:basedOn w:val="Carpredefinitoparagrafo"/>
    <w:uiPriority w:val="99"/>
    <w:semiHidden/>
    <w:unhideWhenUsed/>
    <w:rsid w:val="00720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1654</Words>
  <Characters>9432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Antico</dc:creator>
  <cp:keywords/>
  <dc:description/>
  <cp:lastModifiedBy>Alberto Antico</cp:lastModifiedBy>
  <cp:revision>42</cp:revision>
  <dcterms:created xsi:type="dcterms:W3CDTF">2024-09-05T07:54:00Z</dcterms:created>
  <dcterms:modified xsi:type="dcterms:W3CDTF">2024-09-11T09:59:00Z</dcterms:modified>
</cp:coreProperties>
</file>